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474017" w14:textId="77777777" w:rsidR="00B715EE" w:rsidRDefault="00B715EE"/>
    <w:tbl>
      <w:tblPr>
        <w:tblW w:w="0" w:type="auto"/>
        <w:tblInd w:w="708"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8425"/>
      </w:tblGrid>
      <w:tr w:rsidR="00B715EE" w:rsidRPr="000F31D2" w14:paraId="6902D7C3" w14:textId="77777777" w:rsidTr="00C7032B">
        <w:trPr>
          <w:trHeight w:val="3133"/>
        </w:trPr>
        <w:tc>
          <w:tcPr>
            <w:tcW w:w="8425" w:type="dxa"/>
            <w:tcBorders>
              <w:top w:val="threeDEmboss" w:sz="24" w:space="0" w:color="auto"/>
            </w:tcBorders>
            <w:vAlign w:val="center"/>
          </w:tcPr>
          <w:p w14:paraId="5B728320" w14:textId="77777777" w:rsidR="00B715EE" w:rsidRPr="000F31D2" w:rsidRDefault="00B715EE" w:rsidP="00C7032B">
            <w:pPr>
              <w:pStyle w:val="OECD-Title-page"/>
            </w:pPr>
            <w:r w:rsidRPr="000F31D2">
              <w:t>REGISTRATION REPORT</w:t>
            </w:r>
            <w:r w:rsidRPr="000F31D2">
              <w:br/>
              <w:t>Part B</w:t>
            </w:r>
          </w:p>
          <w:p w14:paraId="531D5B7C" w14:textId="77777777" w:rsidR="00B715EE" w:rsidRPr="000F31D2" w:rsidRDefault="00B715EE" w:rsidP="00C7032B">
            <w:pPr>
              <w:pStyle w:val="OECD-Title-page"/>
            </w:pPr>
          </w:p>
          <w:p w14:paraId="284B7D5D" w14:textId="1EEA3E68" w:rsidR="00B715EE" w:rsidRPr="000F31D2" w:rsidRDefault="00B715EE" w:rsidP="00C7032B">
            <w:pPr>
              <w:pStyle w:val="StyleOECD-Title-page18pt"/>
            </w:pPr>
            <w:r w:rsidRPr="000F31D2">
              <w:t>Section 2</w:t>
            </w:r>
            <w:r w:rsidR="00340458">
              <w:t>:</w:t>
            </w:r>
            <w:r w:rsidRPr="000F31D2">
              <w:t xml:space="preserve"> Analytical Methods</w:t>
            </w:r>
          </w:p>
          <w:p w14:paraId="0C7B15E0" w14:textId="2EC824B4" w:rsidR="00B715EE" w:rsidRPr="000F31D2" w:rsidRDefault="00B715EE" w:rsidP="00C7032B">
            <w:pPr>
              <w:pStyle w:val="OECD-Title-page"/>
            </w:pPr>
            <w:r w:rsidRPr="000F31D2">
              <w:t>Detailed summary of the risk assessment</w:t>
            </w:r>
          </w:p>
        </w:tc>
      </w:tr>
      <w:tr w:rsidR="00B715EE" w:rsidRPr="000F31D2" w14:paraId="1EE9B56B" w14:textId="77777777" w:rsidTr="00C7032B">
        <w:trPr>
          <w:trHeight w:val="3468"/>
        </w:trPr>
        <w:tc>
          <w:tcPr>
            <w:tcW w:w="8425" w:type="dxa"/>
            <w:vAlign w:val="center"/>
          </w:tcPr>
          <w:p w14:paraId="063EBB40" w14:textId="4E68DB30" w:rsidR="00EB5E76" w:rsidRDefault="00B715EE" w:rsidP="00C7032B">
            <w:pPr>
              <w:pStyle w:val="OECD-Title-page"/>
            </w:pPr>
            <w:r w:rsidRPr="000F31D2">
              <w:t>Product code:</w:t>
            </w:r>
          </w:p>
          <w:p w14:paraId="30BD3398" w14:textId="21B697DA" w:rsidR="00B715EE" w:rsidRPr="000F31D2" w:rsidRDefault="00C7032B" w:rsidP="00C7032B">
            <w:pPr>
              <w:pStyle w:val="OECD-Title-page"/>
            </w:pPr>
            <w:r>
              <w:t>FORAY</w:t>
            </w:r>
            <w:r w:rsidR="008C544C">
              <w:rPr>
                <w:vertAlign w:val="superscript"/>
              </w:rPr>
              <w:t>®</w:t>
            </w:r>
            <w:r w:rsidR="007A7850">
              <w:t xml:space="preserve"> 76B</w:t>
            </w:r>
            <w:r w:rsidR="00EB5E76">
              <w:t xml:space="preserve"> (</w:t>
            </w:r>
            <w:r w:rsidR="00F51DFC">
              <w:rPr>
                <w:color w:val="000000"/>
              </w:rPr>
              <w:t>ABG-643</w:t>
            </w:r>
            <w:r w:rsidR="00F51DFC" w:rsidRPr="00F51DFC">
              <w:rPr>
                <w:color w:val="000000"/>
              </w:rPr>
              <w:t>1</w:t>
            </w:r>
            <w:r w:rsidR="00EB5E76" w:rsidRPr="00F51DFC">
              <w:t>)</w:t>
            </w:r>
          </w:p>
          <w:p w14:paraId="3E1F2208" w14:textId="26F62F48" w:rsidR="00EB5E76" w:rsidRDefault="00B715EE" w:rsidP="00C7032B">
            <w:pPr>
              <w:pStyle w:val="OECD-Title-page"/>
            </w:pPr>
            <w:r w:rsidRPr="000F31D2">
              <w:t>Active Substance:</w:t>
            </w:r>
          </w:p>
          <w:p w14:paraId="1B062E9A" w14:textId="2F4F325D" w:rsidR="00EB5E76" w:rsidRDefault="00EB5E76" w:rsidP="00C7032B">
            <w:pPr>
              <w:pStyle w:val="OECD-Title-page"/>
            </w:pPr>
            <w:r w:rsidRPr="0036375F">
              <w:rPr>
                <w:i/>
                <w:iCs/>
              </w:rPr>
              <w:t>Bacillus thuringiensis</w:t>
            </w:r>
            <w:r>
              <w:t xml:space="preserve"> subsp. </w:t>
            </w:r>
            <w:r w:rsidRPr="0036375F">
              <w:rPr>
                <w:i/>
                <w:iCs/>
              </w:rPr>
              <w:t>kurstaki</w:t>
            </w:r>
            <w:r>
              <w:t xml:space="preserve"> strain ABTS-351</w:t>
            </w:r>
          </w:p>
          <w:p w14:paraId="404E824E" w14:textId="3E79B1C1" w:rsidR="00B715EE" w:rsidRPr="000F31D2" w:rsidRDefault="00977174" w:rsidP="00C7032B">
            <w:pPr>
              <w:pStyle w:val="OECD-Title-page"/>
            </w:pPr>
            <w:r>
              <w:t>206.5 g/L</w:t>
            </w:r>
          </w:p>
        </w:tc>
      </w:tr>
      <w:tr w:rsidR="00B715EE" w:rsidRPr="000F31D2" w14:paraId="555E8088" w14:textId="77777777" w:rsidTr="00C7032B">
        <w:trPr>
          <w:trHeight w:val="1475"/>
        </w:trPr>
        <w:tc>
          <w:tcPr>
            <w:tcW w:w="8425" w:type="dxa"/>
            <w:vAlign w:val="center"/>
          </w:tcPr>
          <w:p w14:paraId="5931E389" w14:textId="5214CD4B" w:rsidR="00B715EE" w:rsidRPr="000F31D2" w:rsidRDefault="00F51DFC" w:rsidP="00C7032B">
            <w:pPr>
              <w:pStyle w:val="OECD-Title-page"/>
            </w:pPr>
            <w:r>
              <w:t>Central Zone</w:t>
            </w:r>
          </w:p>
          <w:p w14:paraId="139850C0" w14:textId="250022B6" w:rsidR="00B715EE" w:rsidRPr="000F31D2" w:rsidRDefault="45F93816" w:rsidP="00C7032B">
            <w:pPr>
              <w:tabs>
                <w:tab w:val="left" w:pos="852"/>
                <w:tab w:val="left" w:pos="3732"/>
              </w:tabs>
              <w:jc w:val="center"/>
            </w:pPr>
            <w:r w:rsidRPr="00C14392">
              <w:rPr>
                <w:b/>
                <w:bCs/>
                <w:sz w:val="32"/>
                <w:szCs w:val="32"/>
              </w:rPr>
              <w:t>(zRMS: Poland)</w:t>
            </w:r>
          </w:p>
        </w:tc>
      </w:tr>
      <w:tr w:rsidR="00B715EE" w:rsidRPr="000F31D2" w14:paraId="3074E237" w14:textId="77777777" w:rsidTr="00C7032B">
        <w:trPr>
          <w:trHeight w:val="1642"/>
        </w:trPr>
        <w:tc>
          <w:tcPr>
            <w:tcW w:w="8425" w:type="dxa"/>
            <w:vAlign w:val="center"/>
          </w:tcPr>
          <w:p w14:paraId="34BC2219" w14:textId="77777777" w:rsidR="00B715EE" w:rsidRPr="000F31D2" w:rsidRDefault="00B715EE" w:rsidP="00C7032B">
            <w:pPr>
              <w:pStyle w:val="Tytu"/>
              <w:spacing w:before="120" w:after="120"/>
              <w:rPr>
                <w:rFonts w:ascii="Times New Roman" w:hAnsi="Times New Roman" w:cs="Times New Roman"/>
                <w:kern w:val="0"/>
                <w:sz w:val="32"/>
                <w:szCs w:val="28"/>
              </w:rPr>
            </w:pPr>
            <w:r w:rsidRPr="000F31D2">
              <w:rPr>
                <w:rFonts w:ascii="Times New Roman" w:hAnsi="Times New Roman" w:cs="Times New Roman"/>
                <w:kern w:val="0"/>
                <w:sz w:val="32"/>
                <w:szCs w:val="28"/>
              </w:rPr>
              <w:t>CORE ASSESSMENT</w:t>
            </w:r>
          </w:p>
        </w:tc>
      </w:tr>
      <w:tr w:rsidR="00B715EE" w:rsidRPr="00D65419" w14:paraId="0F487CFF" w14:textId="77777777" w:rsidTr="00C7032B">
        <w:trPr>
          <w:trHeight w:val="2251"/>
        </w:trPr>
        <w:tc>
          <w:tcPr>
            <w:tcW w:w="8425" w:type="dxa"/>
            <w:tcBorders>
              <w:bottom w:val="threeDEmboss" w:sz="24" w:space="0" w:color="auto"/>
            </w:tcBorders>
            <w:vAlign w:val="center"/>
          </w:tcPr>
          <w:p w14:paraId="0F171640" w14:textId="1AC6DE25" w:rsidR="00B715EE" w:rsidRPr="000F31D2" w:rsidRDefault="00B715EE" w:rsidP="00C7032B">
            <w:pPr>
              <w:pStyle w:val="OECD-Title-page"/>
            </w:pPr>
            <w:r>
              <w:t xml:space="preserve">Applicant: </w:t>
            </w:r>
            <w:r w:rsidR="00037AEE">
              <w:t>XXXX</w:t>
            </w:r>
          </w:p>
          <w:p w14:paraId="3589E4AE" w14:textId="122CE9AD" w:rsidR="00B715EE" w:rsidRDefault="00EB5E76" w:rsidP="00C7032B">
            <w:pPr>
              <w:pStyle w:val="OECD-Title-page"/>
            </w:pPr>
            <w:r>
              <w:t xml:space="preserve">Submission </w:t>
            </w:r>
            <w:r w:rsidR="00B715EE" w:rsidRPr="000F31D2">
              <w:t xml:space="preserve">Date: </w:t>
            </w:r>
            <w:r w:rsidR="00D65419">
              <w:t>August</w:t>
            </w:r>
            <w:r w:rsidR="009F7CE3">
              <w:t xml:space="preserve"> </w:t>
            </w:r>
            <w:r w:rsidR="003C2EF2">
              <w:t>2023</w:t>
            </w:r>
          </w:p>
          <w:p w14:paraId="5F29FF73" w14:textId="3F422F92" w:rsidR="007E4D16" w:rsidRDefault="007E4D16" w:rsidP="007E4D16">
            <w:pPr>
              <w:pStyle w:val="OECD-Title-page"/>
            </w:pPr>
            <w:r>
              <w:rPr>
                <w:szCs w:val="32"/>
                <w:lang w:val="fr-FR" w:eastAsia="de-DE"/>
              </w:rPr>
              <w:t>Evaluation</w:t>
            </w:r>
            <w:r w:rsidRPr="00FA6C2C">
              <w:rPr>
                <w:szCs w:val="32"/>
                <w:lang w:val="fr-FR" w:eastAsia="de-DE"/>
              </w:rPr>
              <w:t xml:space="preserve"> date: </w:t>
            </w:r>
            <w:r w:rsidRPr="007D5516">
              <w:rPr>
                <w:szCs w:val="32"/>
                <w:lang w:val="fr-FR" w:eastAsia="de-DE"/>
              </w:rPr>
              <w:t>Ma</w:t>
            </w:r>
            <w:r w:rsidR="00675ECD">
              <w:rPr>
                <w:szCs w:val="32"/>
                <w:lang w:val="fr-FR" w:eastAsia="de-DE"/>
              </w:rPr>
              <w:t>y</w:t>
            </w:r>
            <w:r w:rsidRPr="007D5516">
              <w:rPr>
                <w:szCs w:val="32"/>
                <w:lang w:val="fr-FR" w:eastAsia="de-DE"/>
              </w:rPr>
              <w:t xml:space="preserve"> 2024</w:t>
            </w:r>
          </w:p>
          <w:p w14:paraId="03BD468F" w14:textId="2B086F74" w:rsidR="00B837C3" w:rsidRPr="00D65419" w:rsidRDefault="007E4D16" w:rsidP="007E4D16">
            <w:pPr>
              <w:jc w:val="center"/>
              <w:rPr>
                <w:sz w:val="32"/>
                <w:szCs w:val="32"/>
                <w:lang w:val="fr-FR"/>
              </w:rPr>
            </w:pPr>
            <w:r w:rsidRPr="00FA6C2C">
              <w:rPr>
                <w:b/>
                <w:sz w:val="32"/>
                <w:szCs w:val="32"/>
                <w:lang w:val="fr-FR" w:eastAsia="de-DE"/>
              </w:rPr>
              <w:t xml:space="preserve">MS Finalisation date: </w:t>
            </w:r>
            <w:r w:rsidR="00007375">
              <w:rPr>
                <w:b/>
                <w:sz w:val="32"/>
                <w:szCs w:val="32"/>
                <w:lang w:val="fr-FR" w:eastAsia="de-DE"/>
              </w:rPr>
              <w:t>September 2024</w:t>
            </w:r>
          </w:p>
        </w:tc>
      </w:tr>
    </w:tbl>
    <w:p w14:paraId="158D9635" w14:textId="77777777" w:rsidR="00C61C06" w:rsidRPr="00D65419" w:rsidRDefault="00C61C06" w:rsidP="003C2EF2">
      <w:pPr>
        <w:rPr>
          <w:lang w:val="fr-FR"/>
        </w:rPr>
        <w:sectPr w:rsidR="00C61C06" w:rsidRPr="00D65419" w:rsidSect="00F1602C">
          <w:headerReference w:type="default" r:id="rId10"/>
          <w:footerReference w:type="default" r:id="rId11"/>
          <w:pgSz w:w="11907" w:h="16840" w:code="9"/>
          <w:pgMar w:top="1418" w:right="1134" w:bottom="1418" w:left="1418" w:header="709" w:footer="709" w:gutter="0"/>
          <w:pgNumType w:start="1"/>
          <w:cols w:space="720"/>
        </w:sectPr>
      </w:pPr>
    </w:p>
    <w:p w14:paraId="7C93DDB0" w14:textId="77777777" w:rsidR="00C7032B" w:rsidRDefault="00C7032B" w:rsidP="00732550">
      <w:pPr>
        <w:widowControl w:val="0"/>
        <w:tabs>
          <w:tab w:val="clear" w:pos="720"/>
        </w:tabs>
        <w:spacing w:before="120" w:after="120"/>
        <w:jc w:val="center"/>
        <w:rPr>
          <w:bCs/>
          <w:sz w:val="36"/>
          <w:szCs w:val="22"/>
          <w:lang w:eastAsia="de-DE"/>
        </w:rPr>
      </w:pPr>
    </w:p>
    <w:p w14:paraId="320878F1" w14:textId="6CD32DE0" w:rsidR="00732550" w:rsidRPr="00C7032B" w:rsidRDefault="00732550" w:rsidP="00732550">
      <w:pPr>
        <w:widowControl w:val="0"/>
        <w:tabs>
          <w:tab w:val="clear" w:pos="720"/>
        </w:tabs>
        <w:spacing w:before="120" w:after="120"/>
        <w:jc w:val="center"/>
        <w:rPr>
          <w:bCs/>
          <w:sz w:val="36"/>
          <w:szCs w:val="22"/>
          <w:lang w:eastAsia="de-DE"/>
        </w:rPr>
      </w:pPr>
      <w:r w:rsidRPr="00C7032B">
        <w:rPr>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732550" w:rsidRPr="00732550" w14:paraId="63C2341D" w14:textId="77777777" w:rsidTr="00B747F3">
        <w:tc>
          <w:tcPr>
            <w:tcW w:w="796" w:type="pct"/>
            <w:shd w:val="clear" w:color="auto" w:fill="auto"/>
          </w:tcPr>
          <w:p w14:paraId="0A147F22" w14:textId="77777777" w:rsidR="00732550" w:rsidRPr="00732550" w:rsidRDefault="00732550" w:rsidP="00732550">
            <w:pPr>
              <w:keepNext/>
              <w:keepLines/>
              <w:widowControl w:val="0"/>
              <w:tabs>
                <w:tab w:val="clear" w:pos="720"/>
              </w:tabs>
              <w:spacing w:before="60" w:after="60"/>
              <w:jc w:val="center"/>
              <w:rPr>
                <w:b/>
                <w:sz w:val="20"/>
                <w:szCs w:val="20"/>
                <w:lang w:eastAsia="de-DE"/>
              </w:rPr>
            </w:pPr>
            <w:r w:rsidRPr="00732550">
              <w:rPr>
                <w:b/>
                <w:sz w:val="20"/>
                <w:szCs w:val="20"/>
                <w:lang w:eastAsia="de-DE"/>
              </w:rPr>
              <w:t>When</w:t>
            </w:r>
          </w:p>
        </w:tc>
        <w:tc>
          <w:tcPr>
            <w:tcW w:w="4204" w:type="pct"/>
            <w:shd w:val="clear" w:color="auto" w:fill="auto"/>
          </w:tcPr>
          <w:p w14:paraId="4F5DFD10" w14:textId="77777777" w:rsidR="00732550" w:rsidRPr="00732550" w:rsidRDefault="00732550" w:rsidP="00732550">
            <w:pPr>
              <w:keepNext/>
              <w:keepLines/>
              <w:widowControl w:val="0"/>
              <w:tabs>
                <w:tab w:val="clear" w:pos="720"/>
              </w:tabs>
              <w:spacing w:before="60" w:after="60"/>
              <w:jc w:val="center"/>
              <w:rPr>
                <w:b/>
                <w:sz w:val="20"/>
                <w:szCs w:val="20"/>
                <w:lang w:eastAsia="de-DE"/>
              </w:rPr>
            </w:pPr>
            <w:r w:rsidRPr="00732550">
              <w:rPr>
                <w:b/>
                <w:sz w:val="20"/>
                <w:szCs w:val="20"/>
                <w:lang w:eastAsia="de-DE"/>
              </w:rPr>
              <w:t>What</w:t>
            </w:r>
          </w:p>
        </w:tc>
      </w:tr>
      <w:tr w:rsidR="00732550" w:rsidRPr="00732550" w14:paraId="46FB6DE3" w14:textId="77777777" w:rsidTr="00B747F3">
        <w:tc>
          <w:tcPr>
            <w:tcW w:w="796" w:type="pct"/>
            <w:shd w:val="clear" w:color="auto" w:fill="auto"/>
          </w:tcPr>
          <w:p w14:paraId="2C562C8E" w14:textId="1F801EA8" w:rsidR="00732550" w:rsidRPr="00732550" w:rsidRDefault="00D65419" w:rsidP="00732550">
            <w:pPr>
              <w:widowControl w:val="0"/>
              <w:tabs>
                <w:tab w:val="clear" w:pos="720"/>
              </w:tabs>
              <w:spacing w:after="0"/>
              <w:rPr>
                <w:sz w:val="20"/>
                <w:szCs w:val="22"/>
                <w:lang w:eastAsia="de-DE"/>
              </w:rPr>
            </w:pPr>
            <w:r>
              <w:rPr>
                <w:noProof/>
                <w:sz w:val="20"/>
                <w:szCs w:val="22"/>
                <w:lang w:val="en-US" w:eastAsia="de-DE"/>
              </w:rPr>
              <w:t>August</w:t>
            </w:r>
            <w:r w:rsidR="00732550" w:rsidRPr="00732550">
              <w:rPr>
                <w:noProof/>
                <w:sz w:val="20"/>
                <w:szCs w:val="22"/>
                <w:lang w:val="en-US" w:eastAsia="de-DE"/>
              </w:rPr>
              <w:t xml:space="preserve"> 2023</w:t>
            </w:r>
          </w:p>
        </w:tc>
        <w:tc>
          <w:tcPr>
            <w:tcW w:w="4204" w:type="pct"/>
            <w:shd w:val="clear" w:color="auto" w:fill="auto"/>
          </w:tcPr>
          <w:p w14:paraId="00F80C45" w14:textId="77777777" w:rsidR="00732550" w:rsidRPr="00732550" w:rsidRDefault="00732550" w:rsidP="00732550">
            <w:pPr>
              <w:widowControl w:val="0"/>
              <w:tabs>
                <w:tab w:val="clear" w:pos="720"/>
              </w:tabs>
              <w:spacing w:after="0"/>
              <w:rPr>
                <w:sz w:val="20"/>
                <w:szCs w:val="22"/>
                <w:lang w:eastAsia="de-DE"/>
              </w:rPr>
            </w:pPr>
            <w:r w:rsidRPr="00732550">
              <w:rPr>
                <w:noProof/>
                <w:sz w:val="20"/>
                <w:szCs w:val="22"/>
                <w:lang w:val="en-US" w:eastAsia="de-DE"/>
              </w:rPr>
              <w:t>Initial version submitted by the applicant for Art. 43</w:t>
            </w:r>
          </w:p>
        </w:tc>
      </w:tr>
      <w:tr w:rsidR="00732550" w:rsidRPr="00732550" w14:paraId="6EB25466" w14:textId="77777777" w:rsidTr="00357ECC">
        <w:tc>
          <w:tcPr>
            <w:tcW w:w="796" w:type="pct"/>
            <w:shd w:val="clear" w:color="auto" w:fill="D9D9D9" w:themeFill="background1" w:themeFillShade="D9"/>
          </w:tcPr>
          <w:p w14:paraId="36B3677F" w14:textId="6953C848" w:rsidR="00732550" w:rsidRPr="00732550" w:rsidRDefault="00357ECC" w:rsidP="00732550">
            <w:pPr>
              <w:widowControl w:val="0"/>
              <w:tabs>
                <w:tab w:val="clear" w:pos="720"/>
              </w:tabs>
              <w:spacing w:after="0"/>
              <w:rPr>
                <w:sz w:val="20"/>
                <w:szCs w:val="22"/>
                <w:lang w:eastAsia="de-DE"/>
              </w:rPr>
            </w:pPr>
            <w:r w:rsidRPr="00357ECC">
              <w:rPr>
                <w:sz w:val="20"/>
                <w:szCs w:val="22"/>
                <w:lang w:eastAsia="de-DE"/>
              </w:rPr>
              <w:t>Ma</w:t>
            </w:r>
            <w:r w:rsidR="00675ECD">
              <w:rPr>
                <w:sz w:val="20"/>
                <w:szCs w:val="22"/>
                <w:lang w:eastAsia="de-DE"/>
              </w:rPr>
              <w:t>y</w:t>
            </w:r>
            <w:r w:rsidRPr="00357ECC">
              <w:rPr>
                <w:sz w:val="20"/>
                <w:szCs w:val="22"/>
                <w:lang w:eastAsia="de-DE"/>
              </w:rPr>
              <w:t xml:space="preserve"> 2024</w:t>
            </w:r>
          </w:p>
        </w:tc>
        <w:tc>
          <w:tcPr>
            <w:tcW w:w="4204" w:type="pct"/>
            <w:shd w:val="clear" w:color="auto" w:fill="D9D9D9" w:themeFill="background1" w:themeFillShade="D9"/>
          </w:tcPr>
          <w:p w14:paraId="1B9643C3" w14:textId="13AD8167" w:rsidR="00357ECC" w:rsidRPr="00732550" w:rsidRDefault="00357ECC" w:rsidP="00732550">
            <w:pPr>
              <w:widowControl w:val="0"/>
              <w:tabs>
                <w:tab w:val="clear" w:pos="720"/>
              </w:tabs>
              <w:spacing w:after="0"/>
              <w:rPr>
                <w:sz w:val="20"/>
                <w:szCs w:val="22"/>
                <w:lang w:eastAsia="de-DE"/>
              </w:rPr>
            </w:pPr>
            <w:r>
              <w:rPr>
                <w:sz w:val="20"/>
                <w:szCs w:val="22"/>
                <w:lang w:eastAsia="de-DE"/>
              </w:rPr>
              <w:t>Initial RR</w:t>
            </w:r>
          </w:p>
        </w:tc>
      </w:tr>
      <w:tr w:rsidR="00732550" w:rsidRPr="00732550" w14:paraId="7C000227" w14:textId="77777777" w:rsidTr="00B747F3">
        <w:tc>
          <w:tcPr>
            <w:tcW w:w="796" w:type="pct"/>
            <w:shd w:val="clear" w:color="auto" w:fill="auto"/>
          </w:tcPr>
          <w:p w14:paraId="4A5CAE9C" w14:textId="77777777" w:rsidR="00732550" w:rsidRPr="00732550" w:rsidRDefault="00732550" w:rsidP="00732550">
            <w:pPr>
              <w:widowControl w:val="0"/>
              <w:tabs>
                <w:tab w:val="clear" w:pos="720"/>
              </w:tabs>
              <w:spacing w:after="0"/>
              <w:rPr>
                <w:sz w:val="20"/>
                <w:szCs w:val="22"/>
                <w:lang w:eastAsia="de-DE"/>
              </w:rPr>
            </w:pPr>
          </w:p>
        </w:tc>
        <w:tc>
          <w:tcPr>
            <w:tcW w:w="4204" w:type="pct"/>
            <w:shd w:val="clear" w:color="auto" w:fill="auto"/>
          </w:tcPr>
          <w:p w14:paraId="60A383B1" w14:textId="77777777" w:rsidR="00732550" w:rsidRPr="00732550" w:rsidRDefault="00732550" w:rsidP="00732550">
            <w:pPr>
              <w:widowControl w:val="0"/>
              <w:tabs>
                <w:tab w:val="clear" w:pos="720"/>
              </w:tabs>
              <w:spacing w:after="0"/>
              <w:rPr>
                <w:sz w:val="20"/>
                <w:szCs w:val="22"/>
                <w:lang w:eastAsia="de-DE"/>
              </w:rPr>
            </w:pPr>
          </w:p>
        </w:tc>
      </w:tr>
      <w:tr w:rsidR="00732550" w:rsidRPr="00732550" w14:paraId="02C21CFC" w14:textId="77777777" w:rsidTr="00B747F3">
        <w:tc>
          <w:tcPr>
            <w:tcW w:w="796" w:type="pct"/>
            <w:shd w:val="clear" w:color="auto" w:fill="auto"/>
          </w:tcPr>
          <w:p w14:paraId="275F7EBE" w14:textId="77777777" w:rsidR="00732550" w:rsidRPr="00732550" w:rsidRDefault="00732550" w:rsidP="00732550">
            <w:pPr>
              <w:widowControl w:val="0"/>
              <w:tabs>
                <w:tab w:val="clear" w:pos="720"/>
              </w:tabs>
              <w:spacing w:after="0"/>
              <w:rPr>
                <w:sz w:val="20"/>
                <w:szCs w:val="22"/>
                <w:lang w:eastAsia="de-DE"/>
              </w:rPr>
            </w:pPr>
          </w:p>
        </w:tc>
        <w:tc>
          <w:tcPr>
            <w:tcW w:w="4204" w:type="pct"/>
            <w:shd w:val="clear" w:color="auto" w:fill="auto"/>
          </w:tcPr>
          <w:p w14:paraId="158DFA25" w14:textId="77777777" w:rsidR="00732550" w:rsidRPr="00732550" w:rsidRDefault="00732550" w:rsidP="00732550">
            <w:pPr>
              <w:widowControl w:val="0"/>
              <w:tabs>
                <w:tab w:val="clear" w:pos="720"/>
              </w:tabs>
              <w:spacing w:after="0"/>
              <w:rPr>
                <w:sz w:val="20"/>
                <w:szCs w:val="22"/>
                <w:lang w:eastAsia="de-DE"/>
              </w:rPr>
            </w:pPr>
          </w:p>
        </w:tc>
      </w:tr>
    </w:tbl>
    <w:p w14:paraId="6BDEA438" w14:textId="77777777" w:rsidR="00732550" w:rsidRPr="00732550" w:rsidRDefault="00732550" w:rsidP="00732550">
      <w:pPr>
        <w:tabs>
          <w:tab w:val="clear" w:pos="720"/>
        </w:tabs>
        <w:spacing w:after="160" w:line="259" w:lineRule="auto"/>
        <w:rPr>
          <w:rFonts w:ascii="Calibri" w:eastAsia="Calibri" w:hAnsi="Calibri"/>
          <w:kern w:val="2"/>
          <w:sz w:val="22"/>
          <w:szCs w:val="22"/>
          <w14:ligatures w14:val="standardContextual"/>
        </w:rPr>
      </w:pPr>
    </w:p>
    <w:p w14:paraId="49DA2CC9" w14:textId="6710705F" w:rsidR="003C2EF2" w:rsidRPr="003C2EF2" w:rsidRDefault="003C2EF2" w:rsidP="003C2EF2">
      <w:pPr>
        <w:sectPr w:rsidR="003C2EF2" w:rsidRPr="003C2EF2" w:rsidSect="00F1602C">
          <w:pgSz w:w="11907" w:h="16840" w:code="9"/>
          <w:pgMar w:top="1418" w:right="1134" w:bottom="1418" w:left="1418" w:header="709" w:footer="709" w:gutter="0"/>
          <w:cols w:space="720"/>
        </w:sectPr>
      </w:pPr>
    </w:p>
    <w:p w14:paraId="39500106" w14:textId="789248AB" w:rsidR="00B715EE" w:rsidRPr="003D035B" w:rsidRDefault="00B715EE">
      <w:pPr>
        <w:pStyle w:val="PointTitle"/>
        <w:spacing w:before="0" w:after="240"/>
        <w:ind w:left="850" w:right="850"/>
        <w:rPr>
          <w:sz w:val="32"/>
          <w:szCs w:val="32"/>
        </w:rPr>
      </w:pPr>
      <w:bookmarkStart w:id="0" w:name="Contents"/>
      <w:r w:rsidRPr="003D035B">
        <w:rPr>
          <w:rFonts w:ascii="Times New Roman" w:hAnsi="Times New Roman" w:cs="Times New Roman"/>
          <w:sz w:val="32"/>
          <w:szCs w:val="32"/>
        </w:rPr>
        <w:lastRenderedPageBreak/>
        <w:t>Table of Contents</w:t>
      </w:r>
    </w:p>
    <w:p w14:paraId="0B6D1C8C" w14:textId="246D6463" w:rsidR="003D035B" w:rsidRPr="004311AC" w:rsidRDefault="00B715EE" w:rsidP="003D035B">
      <w:pPr>
        <w:pStyle w:val="Spistreci1"/>
        <w:rPr>
          <w:rFonts w:ascii="Times New Roman" w:eastAsiaTheme="minorEastAsia" w:hAnsi="Times New Roman"/>
          <w:b w:val="0"/>
          <w:kern w:val="2"/>
          <w:sz w:val="22"/>
          <w:szCs w:val="22"/>
          <w14:ligatures w14:val="standardContextual"/>
        </w:rPr>
      </w:pPr>
      <w:r w:rsidRPr="004311AC">
        <w:rPr>
          <w:rFonts w:ascii="Times New Roman" w:hAnsi="Times New Roman"/>
          <w:sz w:val="22"/>
          <w:szCs w:val="22"/>
        </w:rPr>
        <w:fldChar w:fldCharType="begin"/>
      </w:r>
      <w:r w:rsidRPr="004311AC">
        <w:rPr>
          <w:rFonts w:ascii="Times New Roman" w:hAnsi="Times New Roman"/>
          <w:sz w:val="22"/>
          <w:szCs w:val="22"/>
        </w:rPr>
        <w:instrText xml:space="preserve"> TOC \h \z \t "OECD-HeadLine 1,1" </w:instrText>
      </w:r>
      <w:r w:rsidRPr="004311AC">
        <w:rPr>
          <w:rFonts w:ascii="Times New Roman" w:hAnsi="Times New Roman"/>
          <w:sz w:val="22"/>
          <w:szCs w:val="22"/>
        </w:rPr>
        <w:fldChar w:fldCharType="separate"/>
      </w:r>
      <w:hyperlink w:anchor="_Toc142473970" w:history="1">
        <w:r w:rsidR="003D035B" w:rsidRPr="004311AC">
          <w:rPr>
            <w:rStyle w:val="Hipercze"/>
            <w:rFonts w:ascii="Times New Roman" w:hAnsi="Times New Roman"/>
            <w:sz w:val="22"/>
            <w:szCs w:val="22"/>
          </w:rPr>
          <w:t>IIIM 5</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OF ANALYSIS, MANUFACTURING, QUALITY CONTROL AND POST-REGISTRATION MONITORING OF THE MICROBIAL PEST CONTROL PRODUCT</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_Toc142473970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4</w:t>
        </w:r>
        <w:r w:rsidR="003D035B" w:rsidRPr="004311AC">
          <w:rPr>
            <w:rFonts w:ascii="Times New Roman" w:hAnsi="Times New Roman"/>
            <w:webHidden/>
            <w:sz w:val="22"/>
            <w:szCs w:val="22"/>
          </w:rPr>
          <w:fldChar w:fldCharType="end"/>
        </w:r>
      </w:hyperlink>
    </w:p>
    <w:p w14:paraId="73ECDB3B" w14:textId="0922AA5F"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1" w:history="1">
        <w:r w:rsidR="003D035B" w:rsidRPr="004311AC">
          <w:rPr>
            <w:rStyle w:val="Hipercze"/>
            <w:rFonts w:ascii="Times New Roman" w:hAnsi="Times New Roman"/>
            <w:sz w:val="22"/>
            <w:szCs w:val="22"/>
          </w:rPr>
          <w:t>IIIM 5.1</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Quality control and post-registration monitoring methods</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_Toc142473971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5</w:t>
        </w:r>
        <w:r w:rsidR="003D035B" w:rsidRPr="004311AC">
          <w:rPr>
            <w:rFonts w:ascii="Times New Roman" w:hAnsi="Times New Roman"/>
            <w:webHidden/>
            <w:sz w:val="22"/>
            <w:szCs w:val="22"/>
          </w:rPr>
          <w:fldChar w:fldCharType="end"/>
        </w:r>
      </w:hyperlink>
    </w:p>
    <w:p w14:paraId="60A3655C" w14:textId="5458DFEB"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2" w:history="1">
        <w:r w:rsidR="003D035B" w:rsidRPr="004311AC">
          <w:rPr>
            <w:rStyle w:val="Hipercze"/>
            <w:rFonts w:ascii="Times New Roman" w:hAnsi="Times New Roman"/>
            <w:sz w:val="22"/>
            <w:szCs w:val="22"/>
          </w:rPr>
          <w:t>IIIM 5.1.1</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detect, isolate, and enumerate the microorganism. Methods to differentiate a mutant or genetically-modified microorganism from the parent strain</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_Toc142473972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5</w:t>
        </w:r>
        <w:r w:rsidR="003D035B" w:rsidRPr="004311AC">
          <w:rPr>
            <w:rFonts w:ascii="Times New Roman" w:hAnsi="Times New Roman"/>
            <w:webHidden/>
            <w:sz w:val="22"/>
            <w:szCs w:val="22"/>
          </w:rPr>
          <w:fldChar w:fldCharType="end"/>
        </w:r>
      </w:hyperlink>
    </w:p>
    <w:p w14:paraId="77746F3B" w14:textId="097CEE69"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3" w:history="1">
        <w:r w:rsidR="003D035B" w:rsidRPr="004311AC">
          <w:rPr>
            <w:rStyle w:val="Hipercze"/>
            <w:rFonts w:ascii="Times New Roman" w:hAnsi="Times New Roman"/>
            <w:sz w:val="22"/>
            <w:szCs w:val="22"/>
          </w:rPr>
          <w:t>IIIM 5.1.2</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detect spontaneous change in major characteristics of microorganism</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_Toc142473973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6</w:t>
        </w:r>
        <w:r w:rsidR="003D035B" w:rsidRPr="004311AC">
          <w:rPr>
            <w:rFonts w:ascii="Times New Roman" w:hAnsi="Times New Roman"/>
            <w:webHidden/>
            <w:sz w:val="22"/>
            <w:szCs w:val="22"/>
          </w:rPr>
          <w:fldChar w:fldCharType="end"/>
        </w:r>
      </w:hyperlink>
    </w:p>
    <w:p w14:paraId="48DC3174" w14:textId="3019FE58"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4" w:history="1">
        <w:r w:rsidR="003D035B" w:rsidRPr="004311AC">
          <w:rPr>
            <w:rStyle w:val="Hipercze"/>
            <w:rFonts w:ascii="Times New Roman" w:hAnsi="Times New Roman"/>
            <w:sz w:val="22"/>
            <w:szCs w:val="22"/>
          </w:rPr>
          <w:t>IIIM 5.1.3</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define content of microorganism in appropriate terms (same as IIIM 1.7.1), incl. standardisation, sensitivity, reproducibility, statistical validity, and representative data to validate the bioassay</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_Toc142473974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6</w:t>
        </w:r>
        <w:r w:rsidR="003D035B" w:rsidRPr="004311AC">
          <w:rPr>
            <w:rFonts w:ascii="Times New Roman" w:hAnsi="Times New Roman"/>
            <w:webHidden/>
            <w:sz w:val="22"/>
            <w:szCs w:val="22"/>
          </w:rPr>
          <w:fldChar w:fldCharType="end"/>
        </w:r>
      </w:hyperlink>
    </w:p>
    <w:p w14:paraId="42621545" w14:textId="0DF8B44E"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5" w:history="1">
        <w:r w:rsidR="003D035B" w:rsidRPr="004311AC">
          <w:rPr>
            <w:rStyle w:val="Hipercze"/>
            <w:rFonts w:ascii="Times New Roman" w:hAnsi="Times New Roman"/>
            <w:sz w:val="22"/>
            <w:szCs w:val="22"/>
          </w:rPr>
          <w:t>IIIM 5.1.4</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identify contaminant microorganism in MPCP</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_Toc142473975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6</w:t>
        </w:r>
        <w:r w:rsidR="003D035B" w:rsidRPr="004311AC">
          <w:rPr>
            <w:rFonts w:ascii="Times New Roman" w:hAnsi="Times New Roman"/>
            <w:webHidden/>
            <w:sz w:val="22"/>
            <w:szCs w:val="22"/>
          </w:rPr>
          <w:fldChar w:fldCharType="end"/>
        </w:r>
      </w:hyperlink>
    </w:p>
    <w:p w14:paraId="47D6C1A5" w14:textId="3F8937D3"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6" w:history="1">
        <w:r w:rsidR="003D035B" w:rsidRPr="004311AC">
          <w:rPr>
            <w:rStyle w:val="Hipercze"/>
            <w:rFonts w:ascii="Times New Roman" w:hAnsi="Times New Roman"/>
            <w:sz w:val="22"/>
            <w:szCs w:val="22"/>
          </w:rPr>
          <w:t>IIIM 5.1.5</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show control to a specified and acceptable level, of microbial impurities and of any other impurities of toxicological concern, including toxic metabolites, which are known or suspected to be present at any stage of the manufacturing process</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_Toc142473976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9</w:t>
        </w:r>
        <w:r w:rsidR="003D035B" w:rsidRPr="004311AC">
          <w:rPr>
            <w:rFonts w:ascii="Times New Roman" w:hAnsi="Times New Roman"/>
            <w:webHidden/>
            <w:sz w:val="22"/>
            <w:szCs w:val="22"/>
          </w:rPr>
          <w:fldChar w:fldCharType="end"/>
        </w:r>
      </w:hyperlink>
    </w:p>
    <w:p w14:paraId="14CFBF05" w14:textId="0C05D8D8"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7" w:history="1">
        <w:r w:rsidR="003D035B" w:rsidRPr="004311AC">
          <w:rPr>
            <w:rStyle w:val="Hipercze"/>
            <w:rFonts w:ascii="Times New Roman" w:hAnsi="Times New Roman"/>
            <w:sz w:val="22"/>
            <w:szCs w:val="22"/>
          </w:rPr>
          <w:t>IIIM 5.1.6</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Methods to show presence of any human and mammalian pathogens</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_Toc142473977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9</w:t>
        </w:r>
        <w:r w:rsidR="003D035B" w:rsidRPr="004311AC">
          <w:rPr>
            <w:rFonts w:ascii="Times New Roman" w:hAnsi="Times New Roman"/>
            <w:webHidden/>
            <w:sz w:val="22"/>
            <w:szCs w:val="22"/>
          </w:rPr>
          <w:fldChar w:fldCharType="end"/>
        </w:r>
      </w:hyperlink>
    </w:p>
    <w:p w14:paraId="00DFE1C3" w14:textId="40DC1335"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8" w:history="1">
        <w:r w:rsidR="003D035B" w:rsidRPr="004311AC">
          <w:rPr>
            <w:rStyle w:val="Hipercze"/>
            <w:rFonts w:ascii="Times New Roman" w:hAnsi="Times New Roman"/>
            <w:sz w:val="22"/>
            <w:szCs w:val="22"/>
          </w:rPr>
          <w:t>IIIM 5.2</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Storage stability test and determination of shelf life (methods of analysis)</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_Toc142473978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9</w:t>
        </w:r>
        <w:r w:rsidR="003D035B" w:rsidRPr="004311AC">
          <w:rPr>
            <w:rFonts w:ascii="Times New Roman" w:hAnsi="Times New Roman"/>
            <w:webHidden/>
            <w:sz w:val="22"/>
            <w:szCs w:val="22"/>
          </w:rPr>
          <w:fldChar w:fldCharType="end"/>
        </w:r>
      </w:hyperlink>
    </w:p>
    <w:p w14:paraId="27E49922" w14:textId="4EDFC307"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79" w:history="1">
        <w:r w:rsidR="003D035B" w:rsidRPr="004311AC">
          <w:rPr>
            <w:rStyle w:val="Hipercze"/>
            <w:rFonts w:ascii="Times New Roman" w:hAnsi="Times New Roman"/>
            <w:sz w:val="22"/>
            <w:szCs w:val="22"/>
          </w:rPr>
          <w:t>IIIM 5.3</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Production process for MPCP, describing techniques used to ensure a uniform product and procedures when hazardous contamination is detected in a batch. List starting and intermediate materials, with source and purity of each</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_Toc142473979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9</w:t>
        </w:r>
        <w:r w:rsidR="003D035B" w:rsidRPr="004311AC">
          <w:rPr>
            <w:rFonts w:ascii="Times New Roman" w:hAnsi="Times New Roman"/>
            <w:webHidden/>
            <w:sz w:val="22"/>
            <w:szCs w:val="22"/>
          </w:rPr>
          <w:fldChar w:fldCharType="end"/>
        </w:r>
      </w:hyperlink>
    </w:p>
    <w:p w14:paraId="07D37609" w14:textId="10D8EF67"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80" w:history="1">
        <w:r w:rsidR="003D035B" w:rsidRPr="004311AC">
          <w:rPr>
            <w:rStyle w:val="Hipercze"/>
            <w:rFonts w:ascii="Times New Roman" w:hAnsi="Times New Roman"/>
            <w:sz w:val="22"/>
            <w:szCs w:val="22"/>
          </w:rPr>
          <w:t>IIIM 5.4</w:t>
        </w:r>
        <w:r w:rsidR="003D035B" w:rsidRPr="004311AC">
          <w:rPr>
            <w:rFonts w:ascii="Times New Roman" w:eastAsiaTheme="minorEastAsia" w:hAnsi="Times New Roman"/>
            <w:b w:val="0"/>
            <w:kern w:val="2"/>
            <w:sz w:val="22"/>
            <w:szCs w:val="22"/>
            <w14:ligatures w14:val="standardContextual"/>
          </w:rPr>
          <w:tab/>
        </w:r>
        <w:r w:rsidR="003D035B" w:rsidRPr="004311AC">
          <w:rPr>
            <w:rStyle w:val="Hipercze"/>
            <w:rFonts w:ascii="Times New Roman" w:hAnsi="Times New Roman"/>
            <w:sz w:val="22"/>
            <w:szCs w:val="22"/>
          </w:rPr>
          <w:t>Method for determination of residues</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_Toc142473980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10</w:t>
        </w:r>
        <w:r w:rsidR="003D035B" w:rsidRPr="004311AC">
          <w:rPr>
            <w:rFonts w:ascii="Times New Roman" w:hAnsi="Times New Roman"/>
            <w:webHidden/>
            <w:sz w:val="22"/>
            <w:szCs w:val="22"/>
          </w:rPr>
          <w:fldChar w:fldCharType="end"/>
        </w:r>
      </w:hyperlink>
    </w:p>
    <w:p w14:paraId="5663FD97" w14:textId="312297F8" w:rsidR="003D035B" w:rsidRPr="004311AC" w:rsidRDefault="00000000" w:rsidP="003D035B">
      <w:pPr>
        <w:pStyle w:val="Spistreci1"/>
        <w:rPr>
          <w:rFonts w:ascii="Times New Roman" w:eastAsiaTheme="minorEastAsia" w:hAnsi="Times New Roman"/>
          <w:b w:val="0"/>
          <w:kern w:val="2"/>
          <w:sz w:val="22"/>
          <w:szCs w:val="22"/>
          <w14:ligatures w14:val="standardContextual"/>
        </w:rPr>
      </w:pPr>
      <w:hyperlink w:anchor="_Toc142473981" w:history="1">
        <w:r w:rsidR="003D035B" w:rsidRPr="004311AC">
          <w:rPr>
            <w:rStyle w:val="Hipercze"/>
            <w:rFonts w:ascii="Times New Roman" w:hAnsi="Times New Roman"/>
            <w:sz w:val="22"/>
            <w:szCs w:val="22"/>
          </w:rPr>
          <w:t>Appendix 1 – List of data submitted in support of the evaluation</w:t>
        </w:r>
        <w:r w:rsidR="003D035B" w:rsidRPr="004311AC">
          <w:rPr>
            <w:rFonts w:ascii="Times New Roman" w:hAnsi="Times New Roman"/>
            <w:webHidden/>
            <w:sz w:val="22"/>
            <w:szCs w:val="22"/>
          </w:rPr>
          <w:tab/>
        </w:r>
        <w:r w:rsidR="003D035B" w:rsidRPr="004311AC">
          <w:rPr>
            <w:rFonts w:ascii="Times New Roman" w:hAnsi="Times New Roman"/>
            <w:webHidden/>
            <w:sz w:val="22"/>
            <w:szCs w:val="22"/>
          </w:rPr>
          <w:fldChar w:fldCharType="begin"/>
        </w:r>
        <w:r w:rsidR="003D035B" w:rsidRPr="004311AC">
          <w:rPr>
            <w:rFonts w:ascii="Times New Roman" w:hAnsi="Times New Roman"/>
            <w:webHidden/>
            <w:sz w:val="22"/>
            <w:szCs w:val="22"/>
          </w:rPr>
          <w:instrText xml:space="preserve"> PAGEREF _Toc142473981 \h </w:instrText>
        </w:r>
        <w:r w:rsidR="003D035B" w:rsidRPr="004311AC">
          <w:rPr>
            <w:rFonts w:ascii="Times New Roman" w:hAnsi="Times New Roman"/>
            <w:webHidden/>
            <w:sz w:val="22"/>
            <w:szCs w:val="22"/>
          </w:rPr>
        </w:r>
        <w:r w:rsidR="003D035B" w:rsidRPr="004311AC">
          <w:rPr>
            <w:rFonts w:ascii="Times New Roman" w:hAnsi="Times New Roman"/>
            <w:webHidden/>
            <w:sz w:val="22"/>
            <w:szCs w:val="22"/>
          </w:rPr>
          <w:fldChar w:fldCharType="separate"/>
        </w:r>
        <w:r w:rsidR="004311AC" w:rsidRPr="004311AC">
          <w:rPr>
            <w:rFonts w:ascii="Times New Roman" w:hAnsi="Times New Roman"/>
            <w:webHidden/>
            <w:sz w:val="22"/>
            <w:szCs w:val="22"/>
          </w:rPr>
          <w:t>11</w:t>
        </w:r>
        <w:r w:rsidR="003D035B" w:rsidRPr="004311AC">
          <w:rPr>
            <w:rFonts w:ascii="Times New Roman" w:hAnsi="Times New Roman"/>
            <w:webHidden/>
            <w:sz w:val="22"/>
            <w:szCs w:val="22"/>
          </w:rPr>
          <w:fldChar w:fldCharType="end"/>
        </w:r>
      </w:hyperlink>
    </w:p>
    <w:p w14:paraId="0D7DEF8F" w14:textId="55046288" w:rsidR="00B715EE" w:rsidRPr="000F31D2" w:rsidRDefault="00B715EE" w:rsidP="003D035B">
      <w:pPr>
        <w:pStyle w:val="OECD-HeadLine1"/>
        <w:tabs>
          <w:tab w:val="clear" w:pos="1440"/>
          <w:tab w:val="left" w:pos="0"/>
        </w:tabs>
        <w:spacing w:after="0"/>
        <w:ind w:left="0" w:firstLine="0"/>
      </w:pPr>
      <w:r w:rsidRPr="004311AC">
        <w:rPr>
          <w:sz w:val="22"/>
          <w:szCs w:val="22"/>
        </w:rPr>
        <w:fldChar w:fldCharType="end"/>
      </w:r>
      <w:r w:rsidRPr="004311AC">
        <w:rPr>
          <w:sz w:val="22"/>
          <w:szCs w:val="22"/>
        </w:rPr>
        <w:br w:type="page"/>
      </w:r>
      <w:bookmarkStart w:id="1" w:name="_Toc142473970"/>
      <w:r>
        <w:lastRenderedPageBreak/>
        <w:t>IIIM</w:t>
      </w:r>
      <w:r w:rsidRPr="000F31D2">
        <w:t xml:space="preserve"> 5</w:t>
      </w:r>
      <w:r w:rsidRPr="000F31D2">
        <w:tab/>
        <w:t>METHODS OF ANALYSIS, MANUFACTURING, QUALITY CONTROL AND POST-REGISTRATION MONITORING OF THE MICROBIAL PEST CONTROL PRODUCT</w:t>
      </w:r>
      <w:bookmarkEnd w:id="1"/>
    </w:p>
    <w:p w14:paraId="3DA73B1A" w14:textId="77777777" w:rsidR="00C7032B" w:rsidRDefault="00C7032B" w:rsidP="0009569A">
      <w:pPr>
        <w:pStyle w:val="Tekstkomentarza"/>
        <w:jc w:val="both"/>
        <w:rPr>
          <w:sz w:val="22"/>
          <w:szCs w:val="22"/>
        </w:rPr>
      </w:pPr>
      <w:bookmarkStart w:id="2" w:name="_Hlk138150282"/>
      <w:bookmarkStart w:id="3" w:name="_Toc110674019"/>
      <w:bookmarkStart w:id="4" w:name="_Toc235957051"/>
      <w:bookmarkStart w:id="5" w:name="Section2_MIII"/>
      <w:bookmarkEnd w:id="0"/>
    </w:p>
    <w:p w14:paraId="125EBEBA" w14:textId="0EA7279C" w:rsidR="0009569A" w:rsidRPr="002F3F69" w:rsidRDefault="0009569A" w:rsidP="0009569A">
      <w:pPr>
        <w:pStyle w:val="Tekstkomentarza"/>
        <w:jc w:val="both"/>
      </w:pPr>
      <w:r w:rsidRPr="002F3F69">
        <w:rPr>
          <w:sz w:val="22"/>
          <w:szCs w:val="22"/>
        </w:rPr>
        <w:t xml:space="preserve">This registration report is submitted to </w:t>
      </w:r>
      <w:r>
        <w:rPr>
          <w:sz w:val="22"/>
          <w:szCs w:val="22"/>
        </w:rPr>
        <w:t xml:space="preserve">the Ministry of Agriculture and Rural Development (Poland) as zonal Rapporteur Member State (zRMS) and cMS (DE, HU, RO) in </w:t>
      </w:r>
      <w:r w:rsidR="00D65419">
        <w:rPr>
          <w:sz w:val="22"/>
          <w:szCs w:val="22"/>
        </w:rPr>
        <w:t>August</w:t>
      </w:r>
      <w:r>
        <w:rPr>
          <w:sz w:val="22"/>
          <w:szCs w:val="22"/>
        </w:rPr>
        <w:t xml:space="preserve"> 2023 </w:t>
      </w:r>
      <w:r w:rsidRPr="002F3F69">
        <w:rPr>
          <w:sz w:val="22"/>
          <w:szCs w:val="22"/>
        </w:rPr>
        <w:t>to support the authorisation of the plant protection product (PPP) Foray</w:t>
      </w:r>
      <w:r w:rsidRPr="002F3F69">
        <w:rPr>
          <w:sz w:val="22"/>
          <w:szCs w:val="22"/>
          <w:vertAlign w:val="superscript"/>
        </w:rPr>
        <w:t>®</w:t>
      </w:r>
      <w:r w:rsidRPr="002F3F69">
        <w:rPr>
          <w:sz w:val="22"/>
          <w:szCs w:val="22"/>
        </w:rPr>
        <w:t xml:space="preserve"> 76B </w:t>
      </w:r>
      <w:r>
        <w:rPr>
          <w:sz w:val="22"/>
          <w:szCs w:val="22"/>
        </w:rPr>
        <w:t xml:space="preserve">(product code </w:t>
      </w:r>
      <w:r w:rsidRPr="00C00913">
        <w:rPr>
          <w:sz w:val="22"/>
          <w:szCs w:val="22"/>
        </w:rPr>
        <w:t>ABG-6431</w:t>
      </w:r>
      <w:r>
        <w:rPr>
          <w:sz w:val="22"/>
          <w:szCs w:val="22"/>
        </w:rPr>
        <w:t xml:space="preserve">) </w:t>
      </w:r>
      <w:r w:rsidRPr="002F3F69">
        <w:rPr>
          <w:sz w:val="22"/>
          <w:szCs w:val="22"/>
        </w:rPr>
        <w:t xml:space="preserve">in the EU </w:t>
      </w:r>
      <w:r w:rsidRPr="00394C22">
        <w:rPr>
          <w:sz w:val="22"/>
          <w:szCs w:val="22"/>
        </w:rPr>
        <w:t>Central Zone</w:t>
      </w:r>
      <w:r w:rsidRPr="002F3F69">
        <w:rPr>
          <w:sz w:val="22"/>
          <w:szCs w:val="22"/>
        </w:rPr>
        <w:t xml:space="preserve"> under Article 43 of Regulation (EC) No. 1107/2009.</w:t>
      </w:r>
      <w:r>
        <w:rPr>
          <w:sz w:val="22"/>
          <w:szCs w:val="22"/>
        </w:rPr>
        <w:t xml:space="preserve"> The formulation </w:t>
      </w:r>
      <w:r w:rsidRPr="002F3F69">
        <w:rPr>
          <w:color w:val="000000"/>
          <w:sz w:val="22"/>
          <w:szCs w:val="22"/>
        </w:rPr>
        <w:t>Foray</w:t>
      </w:r>
      <w:r w:rsidRPr="002F3F69">
        <w:rPr>
          <w:color w:val="000000"/>
          <w:sz w:val="22"/>
          <w:szCs w:val="22"/>
          <w:vertAlign w:val="superscript"/>
        </w:rPr>
        <w:t xml:space="preserve">® </w:t>
      </w:r>
      <w:r w:rsidRPr="002F3F69">
        <w:rPr>
          <w:color w:val="000000"/>
          <w:sz w:val="22"/>
          <w:szCs w:val="22"/>
        </w:rPr>
        <w:t>76B is a</w:t>
      </w:r>
      <w:r>
        <w:rPr>
          <w:color w:val="000000"/>
          <w:sz w:val="22"/>
          <w:szCs w:val="22"/>
        </w:rPr>
        <w:t>n</w:t>
      </w:r>
      <w:r w:rsidRPr="002F3F69">
        <w:rPr>
          <w:color w:val="000000"/>
          <w:sz w:val="22"/>
          <w:szCs w:val="22"/>
        </w:rPr>
        <w:t xml:space="preserve"> </w:t>
      </w:r>
      <w:r>
        <w:rPr>
          <w:color w:val="000000"/>
          <w:sz w:val="22"/>
          <w:szCs w:val="22"/>
        </w:rPr>
        <w:t xml:space="preserve">aqueous </w:t>
      </w:r>
      <w:r w:rsidRPr="002F3F69">
        <w:rPr>
          <w:color w:val="000000"/>
          <w:sz w:val="22"/>
          <w:szCs w:val="22"/>
        </w:rPr>
        <w:t xml:space="preserve">suspension concentrate (SC) containing 206.5 g/L </w:t>
      </w:r>
      <w:r w:rsidRPr="000D4DA9">
        <w:rPr>
          <w:color w:val="000000"/>
          <w:sz w:val="22"/>
          <w:szCs w:val="22"/>
        </w:rPr>
        <w:t xml:space="preserve">the active substance </w:t>
      </w:r>
      <w:r w:rsidRPr="000D4DA9">
        <w:rPr>
          <w:i/>
          <w:iCs/>
          <w:sz w:val="22"/>
          <w:szCs w:val="22"/>
        </w:rPr>
        <w:t xml:space="preserve">Bacillus thuringiensis </w:t>
      </w:r>
      <w:r w:rsidRPr="000D4DA9">
        <w:rPr>
          <w:sz w:val="22"/>
          <w:szCs w:val="22"/>
        </w:rPr>
        <w:t>subsp.</w:t>
      </w:r>
      <w:r w:rsidRPr="000D4DA9">
        <w:rPr>
          <w:i/>
          <w:iCs/>
          <w:sz w:val="22"/>
          <w:szCs w:val="22"/>
        </w:rPr>
        <w:t xml:space="preserve"> kurstaki</w:t>
      </w:r>
      <w:r w:rsidRPr="000D4DA9">
        <w:rPr>
          <w:sz w:val="22"/>
          <w:szCs w:val="22"/>
        </w:rPr>
        <w:t xml:space="preserve"> strain ABTS-351</w:t>
      </w:r>
      <w:r w:rsidRPr="000D4DA9">
        <w:rPr>
          <w:color w:val="000000"/>
          <w:sz w:val="22"/>
          <w:szCs w:val="22"/>
        </w:rPr>
        <w:t xml:space="preserve">. The content of </w:t>
      </w:r>
      <w:r w:rsidRPr="000D4DA9">
        <w:rPr>
          <w:i/>
          <w:iCs/>
          <w:color w:val="000000"/>
          <w:sz w:val="22"/>
          <w:szCs w:val="22"/>
        </w:rPr>
        <w:t xml:space="preserve">B. thuringiensis </w:t>
      </w:r>
      <w:r w:rsidRPr="000D4DA9">
        <w:rPr>
          <w:color w:val="000000"/>
          <w:sz w:val="22"/>
          <w:szCs w:val="22"/>
        </w:rPr>
        <w:t>subsp</w:t>
      </w:r>
      <w:r w:rsidRPr="000D4DA9">
        <w:rPr>
          <w:i/>
          <w:iCs/>
          <w:color w:val="000000"/>
          <w:sz w:val="22"/>
          <w:szCs w:val="22"/>
        </w:rPr>
        <w:t xml:space="preserve">. kurstaki </w:t>
      </w:r>
      <w:r w:rsidRPr="000D4DA9">
        <w:rPr>
          <w:color w:val="000000"/>
          <w:sz w:val="22"/>
          <w:szCs w:val="22"/>
        </w:rPr>
        <w:t>strain ABTS-351 in Foray</w:t>
      </w:r>
      <w:r w:rsidRPr="000D4DA9">
        <w:rPr>
          <w:color w:val="000000"/>
          <w:sz w:val="22"/>
          <w:szCs w:val="22"/>
          <w:vertAlign w:val="superscript"/>
        </w:rPr>
        <w:t>®</w:t>
      </w:r>
      <w:r w:rsidRPr="000D4DA9">
        <w:rPr>
          <w:color w:val="000000"/>
          <w:sz w:val="22"/>
          <w:szCs w:val="22"/>
        </w:rPr>
        <w:t xml:space="preserve"> 76B range between 1.17 x 10</w:t>
      </w:r>
      <w:r w:rsidRPr="000D4DA9">
        <w:rPr>
          <w:color w:val="000000"/>
          <w:sz w:val="22"/>
          <w:szCs w:val="22"/>
          <w:vertAlign w:val="superscript"/>
        </w:rPr>
        <w:t>13</w:t>
      </w:r>
      <w:r w:rsidRPr="000D4DA9">
        <w:rPr>
          <w:color w:val="000000"/>
          <w:sz w:val="22"/>
          <w:szCs w:val="22"/>
        </w:rPr>
        <w:t xml:space="preserve"> CFU/L and 1.69 x 10</w:t>
      </w:r>
      <w:r w:rsidRPr="000D4DA9">
        <w:rPr>
          <w:color w:val="000000"/>
          <w:sz w:val="22"/>
          <w:szCs w:val="22"/>
          <w:vertAlign w:val="superscript"/>
        </w:rPr>
        <w:t>13</w:t>
      </w:r>
      <w:r w:rsidRPr="000D4DA9">
        <w:rPr>
          <w:color w:val="000000"/>
          <w:sz w:val="22"/>
          <w:szCs w:val="22"/>
        </w:rPr>
        <w:t xml:space="preserve"> CFU/L (nominal concentration of 1.51 x 10</w:t>
      </w:r>
      <w:r w:rsidRPr="000D4DA9">
        <w:rPr>
          <w:color w:val="000000"/>
          <w:sz w:val="22"/>
          <w:szCs w:val="22"/>
          <w:vertAlign w:val="superscript"/>
        </w:rPr>
        <w:t>13</w:t>
      </w:r>
      <w:r w:rsidRPr="000D4DA9">
        <w:rPr>
          <w:color w:val="000000"/>
          <w:sz w:val="22"/>
          <w:szCs w:val="22"/>
        </w:rPr>
        <w:t xml:space="preserve"> CFU/L).</w:t>
      </w:r>
      <w:r w:rsidRPr="002F3F69">
        <w:rPr>
          <w:color w:val="000000"/>
          <w:sz w:val="22"/>
          <w:szCs w:val="22"/>
        </w:rPr>
        <w:t xml:space="preserve"> It is currently authorised across the EU for use as an insecticide to control </w:t>
      </w:r>
      <w:r w:rsidRPr="00842019">
        <w:rPr>
          <w:color w:val="000000"/>
          <w:sz w:val="22"/>
          <w:szCs w:val="22"/>
        </w:rPr>
        <w:t xml:space="preserve">lepidopteran </w:t>
      </w:r>
      <w:r w:rsidRPr="00842019">
        <w:rPr>
          <w:sz w:val="22"/>
          <w:szCs w:val="22"/>
        </w:rPr>
        <w:t xml:space="preserve">defoliating caterpillars </w:t>
      </w:r>
      <w:r w:rsidR="009D3A10" w:rsidRPr="00A95EF4">
        <w:rPr>
          <w:sz w:val="22"/>
          <w:szCs w:val="22"/>
        </w:rPr>
        <w:t>on deciduous and coniferous forest, pine trees, ornamental trees and shrubs or amenity areas (parks, gardens).</w:t>
      </w:r>
    </w:p>
    <w:p w14:paraId="57C7B1EC" w14:textId="77777777" w:rsidR="0009569A" w:rsidRDefault="0009569A" w:rsidP="0009569A">
      <w:pPr>
        <w:spacing w:after="0"/>
        <w:jc w:val="both"/>
        <w:rPr>
          <w:sz w:val="22"/>
          <w:szCs w:val="22"/>
        </w:rPr>
      </w:pPr>
      <w:r w:rsidRPr="002F7AE4">
        <w:rPr>
          <w:bCs/>
          <w:i/>
          <w:iCs/>
          <w:color w:val="000000"/>
          <w:sz w:val="22"/>
          <w:szCs w:val="22"/>
        </w:rPr>
        <w:t>B.</w:t>
      </w:r>
      <w:r w:rsidRPr="002F7AE4">
        <w:rPr>
          <w:bCs/>
          <w:i/>
          <w:color w:val="000000"/>
          <w:sz w:val="22"/>
          <w:szCs w:val="22"/>
        </w:rPr>
        <w:t xml:space="preserve"> thuringiensis </w:t>
      </w:r>
      <w:r w:rsidRPr="002F7AE4">
        <w:rPr>
          <w:bCs/>
          <w:color w:val="000000"/>
          <w:sz w:val="22"/>
          <w:szCs w:val="22"/>
        </w:rPr>
        <w:t>subsp.</w:t>
      </w:r>
      <w:r w:rsidRPr="002F7AE4">
        <w:rPr>
          <w:bCs/>
          <w:i/>
          <w:color w:val="000000"/>
          <w:sz w:val="22"/>
          <w:szCs w:val="22"/>
        </w:rPr>
        <w:t xml:space="preserve"> kurstaki</w:t>
      </w:r>
      <w:r w:rsidRPr="002F7AE4">
        <w:rPr>
          <w:bCs/>
          <w:color w:val="000000"/>
          <w:sz w:val="22"/>
          <w:szCs w:val="22"/>
        </w:rPr>
        <w:t xml:space="preserve"> strain ABTS-351 </w:t>
      </w:r>
      <w:r w:rsidRPr="002F7AE4">
        <w:rPr>
          <w:sz w:val="22"/>
          <w:szCs w:val="22"/>
        </w:rPr>
        <w:t xml:space="preserve">was first assessed for approval for use as PPP in the EU in 2008 by Denmark as Rapporteur Member State (RMS). It was included in Annex I of Directive 91/414/EC as a new active substance on 01 May 2009. </w:t>
      </w:r>
      <w:r w:rsidRPr="003A1184">
        <w:rPr>
          <w:sz w:val="22"/>
          <w:szCs w:val="22"/>
        </w:rPr>
        <w:t xml:space="preserve">Application for renewal of the active substance was submitted to Denmark (RMS) and the Netherlands (co-RMS) in 2016 under Regulation (EC) No. 1107/2009, replacing Directive 91/414/EC. EFSA Conclusion on the peer review of risk assessment of </w:t>
      </w:r>
      <w:r w:rsidRPr="00534380">
        <w:rPr>
          <w:i/>
          <w:iCs/>
          <w:sz w:val="22"/>
          <w:szCs w:val="22"/>
        </w:rPr>
        <w:t>B. thuringiensis</w:t>
      </w:r>
      <w:r w:rsidRPr="003A1184">
        <w:rPr>
          <w:sz w:val="22"/>
          <w:szCs w:val="22"/>
        </w:rPr>
        <w:t xml:space="preserve"> subsp. </w:t>
      </w:r>
      <w:r w:rsidRPr="00534380">
        <w:rPr>
          <w:i/>
          <w:iCs/>
          <w:sz w:val="22"/>
          <w:szCs w:val="22"/>
        </w:rPr>
        <w:t>kurstaki</w:t>
      </w:r>
      <w:r w:rsidRPr="003A1184">
        <w:rPr>
          <w:sz w:val="22"/>
          <w:szCs w:val="22"/>
        </w:rPr>
        <w:t xml:space="preserve"> strain ABTS-351 was published on 22 October 2021 (EFSA Journal 2021;19(10):6879). No critical areas of concern were identified in the EFSA Conclusion. Renewal of approval of </w:t>
      </w:r>
      <w:r w:rsidRPr="00534380">
        <w:rPr>
          <w:i/>
          <w:iCs/>
          <w:sz w:val="22"/>
          <w:szCs w:val="22"/>
        </w:rPr>
        <w:t>B. thuringiensis</w:t>
      </w:r>
      <w:r w:rsidRPr="00534380">
        <w:rPr>
          <w:sz w:val="22"/>
          <w:szCs w:val="22"/>
        </w:rPr>
        <w:t xml:space="preserve"> </w:t>
      </w:r>
      <w:r w:rsidRPr="003A1184">
        <w:rPr>
          <w:sz w:val="22"/>
          <w:szCs w:val="22"/>
        </w:rPr>
        <w:t xml:space="preserve">subsp. </w:t>
      </w:r>
      <w:r w:rsidRPr="00534380">
        <w:rPr>
          <w:i/>
          <w:iCs/>
          <w:sz w:val="22"/>
          <w:szCs w:val="22"/>
        </w:rPr>
        <w:t>kurstaki</w:t>
      </w:r>
      <w:r w:rsidRPr="003A1184">
        <w:rPr>
          <w:sz w:val="22"/>
          <w:szCs w:val="22"/>
        </w:rPr>
        <w:t xml:space="preserve"> strain ABTS-351 was granted on 23 May 2023 (entry into force 1 July 2023); Commission Implementing Regulation (EU) 2023/999.</w:t>
      </w:r>
    </w:p>
    <w:p w14:paraId="23018819" w14:textId="77777777" w:rsidR="0009569A" w:rsidRDefault="0009569A" w:rsidP="0009569A">
      <w:pPr>
        <w:spacing w:after="0"/>
        <w:jc w:val="both"/>
        <w:rPr>
          <w:sz w:val="22"/>
          <w:szCs w:val="22"/>
          <w:highlight w:val="green"/>
        </w:rPr>
      </w:pPr>
    </w:p>
    <w:p w14:paraId="0CCEE700" w14:textId="3C222331" w:rsidR="0009569A" w:rsidRDefault="0009569A" w:rsidP="0009569A">
      <w:pPr>
        <w:pStyle w:val="OECD-BASIS-TEXT"/>
        <w:rPr>
          <w:color w:val="000000" w:themeColor="text1"/>
        </w:rPr>
      </w:pPr>
      <w:r w:rsidRPr="20268656">
        <w:rPr>
          <w:color w:val="000000" w:themeColor="text1"/>
        </w:rPr>
        <w:t xml:space="preserve">When the AIR 4 dossier was submitted for EU renewal of </w:t>
      </w:r>
      <w:r w:rsidRPr="0033295A">
        <w:rPr>
          <w:i/>
          <w:iCs/>
          <w:color w:val="000000" w:themeColor="text1"/>
        </w:rPr>
        <w:t xml:space="preserve">B. thuringiensis </w:t>
      </w:r>
      <w:r w:rsidRPr="004F1409">
        <w:rPr>
          <w:color w:val="000000" w:themeColor="text1"/>
        </w:rPr>
        <w:t>subsp</w:t>
      </w:r>
      <w:r w:rsidRPr="0033295A">
        <w:rPr>
          <w:i/>
          <w:iCs/>
          <w:color w:val="000000" w:themeColor="text1"/>
        </w:rPr>
        <w:t xml:space="preserve">. kurstaki </w:t>
      </w:r>
      <w:r w:rsidRPr="004F1409">
        <w:rPr>
          <w:color w:val="000000" w:themeColor="text1"/>
        </w:rPr>
        <w:t>strain</w:t>
      </w:r>
      <w:r w:rsidRPr="0033295A">
        <w:rPr>
          <w:i/>
          <w:iCs/>
          <w:color w:val="000000" w:themeColor="text1"/>
        </w:rPr>
        <w:t xml:space="preserve"> </w:t>
      </w:r>
      <w:r w:rsidRPr="004F1409">
        <w:rPr>
          <w:color w:val="000000" w:themeColor="text1"/>
        </w:rPr>
        <w:t>ABTS-351</w:t>
      </w:r>
      <w:r w:rsidRPr="20268656">
        <w:rPr>
          <w:color w:val="000000" w:themeColor="text1"/>
        </w:rPr>
        <w:t>, an application to demonstrate technical equivalence of</w:t>
      </w:r>
      <w:r w:rsidRPr="20268656">
        <w:rPr>
          <w:i/>
          <w:iCs/>
          <w:color w:val="000000" w:themeColor="text1"/>
        </w:rPr>
        <w:t xml:space="preserve"> </w:t>
      </w:r>
      <w:r w:rsidRPr="00C4035D">
        <w:rPr>
          <w:i/>
          <w:iCs/>
          <w:color w:val="000000" w:themeColor="text1"/>
        </w:rPr>
        <w:t xml:space="preserve">B. thuringiensis </w:t>
      </w:r>
      <w:r w:rsidRPr="006A0FA3">
        <w:rPr>
          <w:color w:val="000000" w:themeColor="text1"/>
        </w:rPr>
        <w:t>subsp</w:t>
      </w:r>
      <w:r w:rsidRPr="00C4035D">
        <w:rPr>
          <w:i/>
          <w:iCs/>
          <w:color w:val="000000" w:themeColor="text1"/>
        </w:rPr>
        <w:t xml:space="preserve">. kurstaki </w:t>
      </w:r>
      <w:r w:rsidRPr="001A61FC">
        <w:rPr>
          <w:color w:val="000000" w:themeColor="text1"/>
        </w:rPr>
        <w:t>strain</w:t>
      </w:r>
      <w:r w:rsidRPr="00C4035D">
        <w:rPr>
          <w:i/>
          <w:iCs/>
          <w:color w:val="000000" w:themeColor="text1"/>
        </w:rPr>
        <w:t xml:space="preserve"> </w:t>
      </w:r>
      <w:r w:rsidRPr="001A61FC">
        <w:rPr>
          <w:color w:val="000000" w:themeColor="text1"/>
        </w:rPr>
        <w:t>ABTS-351</w:t>
      </w:r>
      <w:r w:rsidRPr="00C4035D">
        <w:rPr>
          <w:i/>
          <w:iCs/>
          <w:color w:val="000000" w:themeColor="text1"/>
        </w:rPr>
        <w:t xml:space="preserve"> </w:t>
      </w:r>
      <w:r w:rsidRPr="20268656">
        <w:rPr>
          <w:color w:val="000000" w:themeColor="text1"/>
        </w:rPr>
        <w:t xml:space="preserve">produced at a new manufacturing site for </w:t>
      </w:r>
      <w:r w:rsidR="00037AEE">
        <w:rPr>
          <w:color w:val="000000" w:themeColor="text1"/>
        </w:rPr>
        <w:t>XXXX</w:t>
      </w:r>
      <w:r w:rsidRPr="20268656">
        <w:rPr>
          <w:color w:val="000000" w:themeColor="text1"/>
        </w:rPr>
        <w:t xml:space="preserve">, was also submitted to </w:t>
      </w:r>
      <w:r>
        <w:rPr>
          <w:color w:val="000000" w:themeColor="text1"/>
        </w:rPr>
        <w:t>Denmark</w:t>
      </w:r>
      <w:r w:rsidRPr="20268656">
        <w:rPr>
          <w:color w:val="000000" w:themeColor="text1"/>
        </w:rPr>
        <w:t>. Technical equivalence was granted in J</w:t>
      </w:r>
      <w:r>
        <w:rPr>
          <w:color w:val="000000" w:themeColor="text1"/>
        </w:rPr>
        <w:t xml:space="preserve">anuary </w:t>
      </w:r>
      <w:r w:rsidRPr="20268656">
        <w:rPr>
          <w:color w:val="000000" w:themeColor="text1"/>
        </w:rPr>
        <w:t>2018.</w:t>
      </w:r>
    </w:p>
    <w:p w14:paraId="78809C26" w14:textId="77777777" w:rsidR="0009569A" w:rsidRPr="003861AF" w:rsidRDefault="0009569A" w:rsidP="0009569A">
      <w:pPr>
        <w:spacing w:after="0" w:line="280" w:lineRule="exact"/>
        <w:jc w:val="both"/>
        <w:rPr>
          <w:sz w:val="22"/>
          <w:szCs w:val="22"/>
          <w:highlight w:val="green"/>
        </w:rPr>
      </w:pPr>
    </w:p>
    <w:p w14:paraId="78F36400" w14:textId="77777777" w:rsidR="0009569A" w:rsidRDefault="0009569A" w:rsidP="0009569A">
      <w:pPr>
        <w:spacing w:after="0" w:line="280" w:lineRule="exact"/>
        <w:jc w:val="both"/>
        <w:rPr>
          <w:sz w:val="22"/>
          <w:szCs w:val="22"/>
        </w:rPr>
      </w:pPr>
      <w:r w:rsidRPr="00CA49DA">
        <w:rPr>
          <w:sz w:val="22"/>
          <w:szCs w:val="22"/>
        </w:rPr>
        <w:t>DiPel</w:t>
      </w:r>
      <w:r w:rsidRPr="00CA49DA">
        <w:rPr>
          <w:sz w:val="22"/>
          <w:szCs w:val="22"/>
          <w:vertAlign w:val="superscript"/>
        </w:rPr>
        <w:t>®</w:t>
      </w:r>
      <w:r w:rsidRPr="00CA49DA">
        <w:rPr>
          <w:sz w:val="22"/>
          <w:szCs w:val="22"/>
        </w:rPr>
        <w:t xml:space="preserve"> DF (product code ABG-6404) is the representative formulation used to support the application for renewal of approval of </w:t>
      </w:r>
      <w:r w:rsidRPr="00CA49DA">
        <w:rPr>
          <w:i/>
          <w:iCs/>
          <w:sz w:val="22"/>
          <w:szCs w:val="22"/>
        </w:rPr>
        <w:t>B. thuringiensis</w:t>
      </w:r>
      <w:r w:rsidRPr="00CA49DA">
        <w:rPr>
          <w:sz w:val="22"/>
          <w:szCs w:val="22"/>
        </w:rPr>
        <w:t xml:space="preserve"> subsp. </w:t>
      </w:r>
      <w:r w:rsidRPr="00CA49DA">
        <w:rPr>
          <w:i/>
          <w:iCs/>
          <w:sz w:val="22"/>
          <w:szCs w:val="22"/>
        </w:rPr>
        <w:t>kurstaki</w:t>
      </w:r>
      <w:r w:rsidRPr="00CA49DA">
        <w:rPr>
          <w:sz w:val="22"/>
          <w:szCs w:val="22"/>
        </w:rPr>
        <w:t xml:space="preserve"> strain ABTS-351, thus have been evaluated during the approval process.</w:t>
      </w:r>
      <w:r>
        <w:rPr>
          <w:sz w:val="22"/>
          <w:szCs w:val="22"/>
        </w:rPr>
        <w:t xml:space="preserve"> </w:t>
      </w:r>
      <w:r w:rsidRPr="00CA49DA">
        <w:rPr>
          <w:sz w:val="22"/>
          <w:szCs w:val="22"/>
        </w:rPr>
        <w:t>The representative uses are outdoor vegetables (cabbage) and indoor vegetables (tomato).</w:t>
      </w:r>
    </w:p>
    <w:p w14:paraId="2E64EB5A" w14:textId="77777777" w:rsidR="00B74C28" w:rsidRDefault="00B74C28">
      <w:pPr>
        <w:tabs>
          <w:tab w:val="clear" w:pos="720"/>
        </w:tabs>
        <w:spacing w:after="0"/>
        <w:rPr>
          <w:color w:val="000000"/>
          <w:sz w:val="22"/>
          <w:szCs w:val="22"/>
        </w:rPr>
      </w:pPr>
      <w:r>
        <w:br w:type="page"/>
      </w:r>
    </w:p>
    <w:p w14:paraId="7C1B1F3A" w14:textId="77777777" w:rsidR="00B715EE" w:rsidRPr="00F74850" w:rsidRDefault="00B715EE">
      <w:pPr>
        <w:pStyle w:val="OECD-HeadLine1"/>
      </w:pPr>
      <w:bookmarkStart w:id="6" w:name="_Toc142473971"/>
      <w:bookmarkEnd w:id="2"/>
      <w:r>
        <w:lastRenderedPageBreak/>
        <w:t>IIIM</w:t>
      </w:r>
      <w:r w:rsidRPr="000F31D2">
        <w:t xml:space="preserve"> 5.1</w:t>
      </w:r>
      <w:r w:rsidRPr="000F31D2">
        <w:tab/>
      </w:r>
      <w:bookmarkEnd w:id="3"/>
      <w:bookmarkEnd w:id="4"/>
      <w:r w:rsidRPr="000F31D2">
        <w:t xml:space="preserve">Quality control and post-registration </w:t>
      </w:r>
      <w:r w:rsidRPr="00F74850">
        <w:t>monitoring methods</w:t>
      </w:r>
      <w:bookmarkEnd w:id="6"/>
    </w:p>
    <w:p w14:paraId="56345513" w14:textId="787B9ED8" w:rsidR="00F51DFC" w:rsidRPr="00F74850" w:rsidRDefault="00F51DFC" w:rsidP="00F51DFC">
      <w:pPr>
        <w:pStyle w:val="OECD-HeadLine1"/>
      </w:pPr>
      <w:bookmarkStart w:id="7" w:name="_Toc110674020"/>
      <w:bookmarkStart w:id="8" w:name="_Toc235957052"/>
      <w:bookmarkStart w:id="9" w:name="_Toc142473972"/>
      <w:bookmarkEnd w:id="5"/>
      <w:r w:rsidRPr="00F74850">
        <w:t>IIIM 5.1.1</w:t>
      </w:r>
      <w:r w:rsidRPr="00F74850">
        <w:tab/>
      </w:r>
      <w:bookmarkEnd w:id="7"/>
      <w:bookmarkEnd w:id="8"/>
      <w:r w:rsidRPr="00F74850">
        <w:t>Methods to detect, isolate, and enumerate the microorganism. Methods to differentiate a mutant or genetically-modified microorganism from the parent strain</w:t>
      </w:r>
      <w:bookmarkEnd w:id="9"/>
    </w:p>
    <w:p w14:paraId="30B0B04A" w14:textId="28E4AD68" w:rsidR="00F51DFC" w:rsidRPr="00F74850" w:rsidRDefault="00F51DFC" w:rsidP="00F51DFC">
      <w:pPr>
        <w:jc w:val="both"/>
        <w:rPr>
          <w:sz w:val="22"/>
          <w:szCs w:val="22"/>
        </w:rPr>
      </w:pPr>
      <w:bookmarkStart w:id="10" w:name="_Toc110674021"/>
      <w:bookmarkStart w:id="11" w:name="_Toc235957053"/>
      <w:r w:rsidRPr="00F74850">
        <w:rPr>
          <w:sz w:val="22"/>
          <w:szCs w:val="22"/>
        </w:rPr>
        <w:t xml:space="preserve">During the EU active substance peer review phase, multiple methods of detecting </w:t>
      </w:r>
      <w:r w:rsidRPr="00F74850">
        <w:rPr>
          <w:i/>
          <w:iCs/>
          <w:sz w:val="22"/>
          <w:szCs w:val="22"/>
        </w:rPr>
        <w:t>B. thuringiensis</w:t>
      </w:r>
      <w:r w:rsidRPr="00F74850">
        <w:rPr>
          <w:sz w:val="22"/>
          <w:szCs w:val="22"/>
        </w:rPr>
        <w:t xml:space="preserve"> subsp. </w:t>
      </w:r>
      <w:r w:rsidRPr="00F74850">
        <w:rPr>
          <w:i/>
          <w:iCs/>
          <w:sz w:val="22"/>
          <w:szCs w:val="22"/>
        </w:rPr>
        <w:t>kurstaki</w:t>
      </w:r>
      <w:r w:rsidRPr="00F74850">
        <w:rPr>
          <w:sz w:val="22"/>
          <w:szCs w:val="22"/>
        </w:rPr>
        <w:t xml:space="preserve"> strain ABTS-351 were submitted</w:t>
      </w:r>
      <w:r w:rsidR="00193196" w:rsidRPr="00F74850">
        <w:rPr>
          <w:sz w:val="22"/>
          <w:szCs w:val="22"/>
        </w:rPr>
        <w:t xml:space="preserve"> and considered acceptable</w:t>
      </w:r>
      <w:r w:rsidRPr="00F74850">
        <w:rPr>
          <w:sz w:val="22"/>
          <w:szCs w:val="22"/>
        </w:rPr>
        <w:t>. Unequivocal identification and characterisation of strain ABTS-351, as described in Part C (IIIM 5.1.1/01), was possible using the whole genome sequencing (WGS) technology.</w:t>
      </w:r>
    </w:p>
    <w:p w14:paraId="0567E06D" w14:textId="7476AAA7" w:rsidR="00F51DFC" w:rsidRPr="00064659" w:rsidRDefault="00F51DFC" w:rsidP="00F51DFC">
      <w:pPr>
        <w:jc w:val="both"/>
        <w:rPr>
          <w:sz w:val="22"/>
          <w:szCs w:val="22"/>
        </w:rPr>
      </w:pPr>
      <w:r w:rsidRPr="00F74850">
        <w:rPr>
          <w:sz w:val="22"/>
          <w:szCs w:val="22"/>
        </w:rPr>
        <w:t>A geno</w:t>
      </w:r>
      <w:r w:rsidR="00371BB1" w:rsidRPr="00F74850">
        <w:rPr>
          <w:sz w:val="22"/>
          <w:szCs w:val="22"/>
        </w:rPr>
        <w:t>mo</w:t>
      </w:r>
      <w:r w:rsidRPr="00F74850">
        <w:rPr>
          <w:sz w:val="22"/>
          <w:szCs w:val="22"/>
        </w:rPr>
        <w:t>typing study (</w:t>
      </w:r>
      <w:r w:rsidR="00DC6CB9" w:rsidRPr="00F74850">
        <w:rPr>
          <w:sz w:val="22"/>
          <w:szCs w:val="22"/>
        </w:rPr>
        <w:t>v</w:t>
      </w:r>
      <w:r w:rsidRPr="00F74850">
        <w:rPr>
          <w:sz w:val="22"/>
          <w:szCs w:val="22"/>
        </w:rPr>
        <w:t xml:space="preserve">an der Vossen </w:t>
      </w:r>
      <w:r w:rsidRPr="00F74850">
        <w:rPr>
          <w:i/>
          <w:iCs/>
          <w:sz w:val="22"/>
          <w:szCs w:val="22"/>
        </w:rPr>
        <w:t>et al</w:t>
      </w:r>
      <w:r w:rsidRPr="00F74850">
        <w:rPr>
          <w:sz w:val="22"/>
          <w:szCs w:val="22"/>
        </w:rPr>
        <w:t xml:space="preserve">., 2008; </w:t>
      </w:r>
      <w:r w:rsidR="00C14392" w:rsidRPr="00F74850">
        <w:rPr>
          <w:sz w:val="22"/>
          <w:szCs w:val="22"/>
        </w:rPr>
        <w:t>Part C</w:t>
      </w:r>
      <w:r w:rsidR="00C14392">
        <w:rPr>
          <w:sz w:val="22"/>
          <w:szCs w:val="22"/>
        </w:rPr>
        <w:t xml:space="preserve"> </w:t>
      </w:r>
      <w:r w:rsidRPr="605A97F6">
        <w:rPr>
          <w:sz w:val="22"/>
          <w:szCs w:val="22"/>
        </w:rPr>
        <w:t>IIIM 5.1.1/02) can also be used for high-resolution differentiation between strains of the same subspecies, as well as for identification of strain ABTS-351.</w:t>
      </w:r>
    </w:p>
    <w:p w14:paraId="7D196B65" w14:textId="7DA17B00" w:rsidR="00F51DFC" w:rsidRPr="00064659" w:rsidRDefault="00F51DFC" w:rsidP="00F51DFC">
      <w:pPr>
        <w:jc w:val="both"/>
        <w:rPr>
          <w:sz w:val="22"/>
          <w:szCs w:val="22"/>
        </w:rPr>
      </w:pPr>
      <w:r w:rsidRPr="605A97F6">
        <w:rPr>
          <w:sz w:val="22"/>
          <w:szCs w:val="22"/>
        </w:rPr>
        <w:t>Additionally</w:t>
      </w:r>
      <w:r w:rsidRPr="00F16B54">
        <w:rPr>
          <w:sz w:val="22"/>
          <w:szCs w:val="22"/>
        </w:rPr>
        <w:t xml:space="preserve">, </w:t>
      </w:r>
      <w:r w:rsidR="00DC6CB9" w:rsidRPr="00F16B54">
        <w:rPr>
          <w:rFonts w:eastAsia="MS Mincho"/>
          <w:sz w:val="22"/>
          <w:szCs w:val="22"/>
          <w:lang w:val="en-US" w:eastAsia="ja-JP"/>
        </w:rPr>
        <w:t>v</w:t>
      </w:r>
      <w:r w:rsidR="00C14392" w:rsidRPr="00F16B54">
        <w:rPr>
          <w:rFonts w:eastAsia="MS Mincho"/>
          <w:sz w:val="22"/>
          <w:szCs w:val="22"/>
          <w:lang w:val="en-US" w:eastAsia="ja-JP"/>
        </w:rPr>
        <w:t xml:space="preserve">an der Vossen </w:t>
      </w:r>
      <w:r w:rsidR="00C14392" w:rsidRPr="00F16B54">
        <w:rPr>
          <w:rFonts w:eastAsia="MS Mincho"/>
          <w:i/>
          <w:iCs/>
          <w:sz w:val="22"/>
          <w:szCs w:val="22"/>
          <w:lang w:val="en-US" w:eastAsia="ja-JP"/>
        </w:rPr>
        <w:t>et al</w:t>
      </w:r>
      <w:r w:rsidR="00C14392" w:rsidRPr="00F16B54">
        <w:rPr>
          <w:rFonts w:eastAsia="MS Mincho"/>
          <w:sz w:val="22"/>
          <w:szCs w:val="22"/>
          <w:lang w:val="en-US" w:eastAsia="ja-JP"/>
        </w:rPr>
        <w:t xml:space="preserve">., 2015 (Part C </w:t>
      </w:r>
      <w:r w:rsidRPr="00F16B54">
        <w:rPr>
          <w:sz w:val="22"/>
          <w:szCs w:val="22"/>
        </w:rPr>
        <w:t>IIIM 5.1.1/03</w:t>
      </w:r>
      <w:r w:rsidR="00C14392" w:rsidRPr="00F16B54">
        <w:rPr>
          <w:sz w:val="22"/>
          <w:szCs w:val="22"/>
        </w:rPr>
        <w:t>)</w:t>
      </w:r>
      <w:r w:rsidRPr="605A97F6">
        <w:rPr>
          <w:sz w:val="22"/>
          <w:szCs w:val="22"/>
        </w:rPr>
        <w:t xml:space="preserve"> describes a quantitative polymerase chain reaction (qPCR) method used to detect </w:t>
      </w:r>
      <w:r w:rsidRPr="605A97F6">
        <w:rPr>
          <w:i/>
          <w:iCs/>
          <w:sz w:val="22"/>
          <w:szCs w:val="22"/>
        </w:rPr>
        <w:t>B. thuringiensis</w:t>
      </w:r>
      <w:r w:rsidRPr="605A97F6">
        <w:rPr>
          <w:sz w:val="22"/>
          <w:szCs w:val="22"/>
        </w:rPr>
        <w:t xml:space="preserve"> species in a background of </w:t>
      </w:r>
      <w:r w:rsidRPr="004B297F">
        <w:rPr>
          <w:i/>
          <w:iCs/>
          <w:sz w:val="22"/>
          <w:szCs w:val="22"/>
        </w:rPr>
        <w:t>B. cereus</w:t>
      </w:r>
      <w:r w:rsidRPr="605A97F6">
        <w:rPr>
          <w:sz w:val="22"/>
          <w:szCs w:val="22"/>
        </w:rPr>
        <w:t xml:space="preserve"> species. The method is not able to accurately detect and quantify </w:t>
      </w:r>
      <w:r w:rsidRPr="605A97F6">
        <w:rPr>
          <w:i/>
          <w:iCs/>
          <w:sz w:val="22"/>
          <w:szCs w:val="22"/>
        </w:rPr>
        <w:t>B. thuringiensis</w:t>
      </w:r>
      <w:r w:rsidRPr="605A97F6">
        <w:rPr>
          <w:sz w:val="22"/>
          <w:szCs w:val="22"/>
        </w:rPr>
        <w:t xml:space="preserve"> species at strain level as primer/probes specificity is low. However, it can be used to complement other methods described above.</w:t>
      </w:r>
    </w:p>
    <w:p w14:paraId="05FD178F" w14:textId="3C4564D2" w:rsidR="00C31707" w:rsidRDefault="00F51DFC" w:rsidP="00C14392">
      <w:pPr>
        <w:autoSpaceDE w:val="0"/>
        <w:autoSpaceDN w:val="0"/>
        <w:adjustRightInd w:val="0"/>
        <w:spacing w:after="0"/>
        <w:jc w:val="both"/>
        <w:rPr>
          <w:sz w:val="22"/>
          <w:szCs w:val="22"/>
        </w:rPr>
      </w:pPr>
      <w:r w:rsidRPr="605A97F6">
        <w:rPr>
          <w:sz w:val="22"/>
          <w:szCs w:val="22"/>
        </w:rPr>
        <w:t xml:space="preserve">As the insecticidal activity does not correlate with the weight of bacterial technical powder or the amount of </w:t>
      </w:r>
      <w:r w:rsidRPr="605A97F6">
        <w:rPr>
          <w:i/>
          <w:iCs/>
          <w:sz w:val="22"/>
          <w:szCs w:val="22"/>
        </w:rPr>
        <w:t>B.</w:t>
      </w:r>
      <w:r w:rsidRPr="605A97F6">
        <w:rPr>
          <w:sz w:val="22"/>
          <w:szCs w:val="22"/>
        </w:rPr>
        <w:t xml:space="preserve"> </w:t>
      </w:r>
      <w:r w:rsidRPr="605A97F6">
        <w:rPr>
          <w:i/>
          <w:iCs/>
          <w:sz w:val="22"/>
          <w:szCs w:val="22"/>
        </w:rPr>
        <w:t xml:space="preserve">thuringiensis </w:t>
      </w:r>
      <w:r w:rsidRPr="605A97F6">
        <w:rPr>
          <w:sz w:val="22"/>
          <w:szCs w:val="22"/>
        </w:rPr>
        <w:t>subsp</w:t>
      </w:r>
      <w:r w:rsidRPr="605A97F6">
        <w:rPr>
          <w:i/>
          <w:iCs/>
          <w:sz w:val="22"/>
          <w:szCs w:val="22"/>
        </w:rPr>
        <w:t xml:space="preserve">. kurstaki </w:t>
      </w:r>
      <w:r w:rsidRPr="605A97F6">
        <w:rPr>
          <w:sz w:val="22"/>
          <w:szCs w:val="22"/>
        </w:rPr>
        <w:t>strain ABTS-351 in CFU/m</w:t>
      </w:r>
      <w:r w:rsidR="41D6ED86" w:rsidRPr="605A97F6">
        <w:rPr>
          <w:sz w:val="22"/>
          <w:szCs w:val="22"/>
        </w:rPr>
        <w:t>L</w:t>
      </w:r>
      <w:r w:rsidRPr="605A97F6">
        <w:rPr>
          <w:sz w:val="22"/>
          <w:szCs w:val="22"/>
        </w:rPr>
        <w:t>, expression of the content of the active ingredient in terms of weight or CFU/m</w:t>
      </w:r>
      <w:r w:rsidR="61834707" w:rsidRPr="605A97F6">
        <w:rPr>
          <w:sz w:val="22"/>
          <w:szCs w:val="22"/>
        </w:rPr>
        <w:t>L</w:t>
      </w:r>
      <w:r w:rsidRPr="605A97F6">
        <w:rPr>
          <w:sz w:val="22"/>
          <w:szCs w:val="22"/>
        </w:rPr>
        <w:t xml:space="preserve"> may not be accurate. Therefore, the active ingredient has to be standardized by bioassays that indicate the potency of its insecticidal properties. Dulmage </w:t>
      </w:r>
      <w:r w:rsidRPr="004B297F">
        <w:rPr>
          <w:i/>
          <w:iCs/>
          <w:sz w:val="22"/>
          <w:szCs w:val="22"/>
        </w:rPr>
        <w:t>et al</w:t>
      </w:r>
      <w:r w:rsidRPr="605A97F6">
        <w:rPr>
          <w:sz w:val="22"/>
          <w:szCs w:val="22"/>
        </w:rPr>
        <w:t xml:space="preserve">. (1971) first developed a bioassay (IIIM 5.1.1/04) for comparison of the potency of insecticidal activity of </w:t>
      </w:r>
      <w:r w:rsidRPr="605A97F6">
        <w:rPr>
          <w:i/>
          <w:iCs/>
          <w:sz w:val="22"/>
          <w:szCs w:val="22"/>
        </w:rPr>
        <w:t xml:space="preserve">B. thuringiensis </w:t>
      </w:r>
      <w:r w:rsidRPr="605A97F6">
        <w:rPr>
          <w:sz w:val="22"/>
          <w:szCs w:val="22"/>
        </w:rPr>
        <w:t xml:space="preserve">strains. The method has now become a standard method use to determining </w:t>
      </w:r>
      <w:r w:rsidRPr="605A97F6">
        <w:rPr>
          <w:i/>
          <w:iCs/>
          <w:sz w:val="22"/>
          <w:szCs w:val="22"/>
        </w:rPr>
        <w:t>B. thuringiensis</w:t>
      </w:r>
      <w:r w:rsidRPr="605A97F6">
        <w:rPr>
          <w:sz w:val="22"/>
          <w:szCs w:val="22"/>
        </w:rPr>
        <w:t xml:space="preserve"> toxin potency, thus estimation of its concentration. It is also widely acceptable by regulatory authorities.</w:t>
      </w:r>
    </w:p>
    <w:p w14:paraId="3EFE490E" w14:textId="77777777" w:rsidR="00C31707" w:rsidRDefault="00C31707" w:rsidP="00C14392">
      <w:pPr>
        <w:autoSpaceDE w:val="0"/>
        <w:autoSpaceDN w:val="0"/>
        <w:adjustRightInd w:val="0"/>
        <w:spacing w:after="0"/>
        <w:jc w:val="both"/>
        <w:rPr>
          <w:sz w:val="22"/>
          <w:szCs w:val="22"/>
        </w:rPr>
      </w:pPr>
    </w:p>
    <w:p w14:paraId="0D924CD4" w14:textId="6F870486" w:rsidR="00F51DFC" w:rsidRDefault="00F51DFC" w:rsidP="00C14392">
      <w:pPr>
        <w:autoSpaceDE w:val="0"/>
        <w:autoSpaceDN w:val="0"/>
        <w:adjustRightInd w:val="0"/>
        <w:spacing w:after="0"/>
        <w:jc w:val="both"/>
        <w:rPr>
          <w:sz w:val="22"/>
          <w:szCs w:val="22"/>
        </w:rPr>
      </w:pPr>
      <w:r w:rsidRPr="605A97F6">
        <w:rPr>
          <w:sz w:val="22"/>
          <w:szCs w:val="22"/>
        </w:rPr>
        <w:t xml:space="preserve">Described in Part C (IIIM 5.1.1/05) is the validation of the bioassay based on the quantal dose response of four-day post-hatch </w:t>
      </w:r>
      <w:r w:rsidRPr="605A97F6">
        <w:rPr>
          <w:i/>
          <w:iCs/>
          <w:sz w:val="22"/>
          <w:szCs w:val="22"/>
        </w:rPr>
        <w:t>Trichoplusia ni</w:t>
      </w:r>
      <w:r w:rsidRPr="605A97F6">
        <w:rPr>
          <w:sz w:val="22"/>
          <w:szCs w:val="22"/>
        </w:rPr>
        <w:t xml:space="preserve"> larvae, which is used to determine the content of the microorganism in the preparation.</w:t>
      </w:r>
      <w:bookmarkStart w:id="12" w:name="_Hlk104203449"/>
    </w:p>
    <w:p w14:paraId="0E52C544" w14:textId="77777777" w:rsidR="00C14392" w:rsidRPr="00064659" w:rsidRDefault="00C14392" w:rsidP="00C14392">
      <w:pPr>
        <w:autoSpaceDE w:val="0"/>
        <w:autoSpaceDN w:val="0"/>
        <w:adjustRightInd w:val="0"/>
        <w:spacing w:after="0"/>
        <w:jc w:val="both"/>
        <w:rPr>
          <w:sz w:val="22"/>
          <w:szCs w:val="22"/>
        </w:rPr>
      </w:pPr>
    </w:p>
    <w:tbl>
      <w:tblPr>
        <w:tblStyle w:val="Tabela-Siatka"/>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57"/>
        <w:gridCol w:w="7186"/>
      </w:tblGrid>
      <w:tr w:rsidR="00F51DFC" w:rsidRPr="00064659" w14:paraId="7A0CF43E" w14:textId="77777777" w:rsidTr="00EE27EB">
        <w:trPr>
          <w:trHeight w:val="171"/>
        </w:trPr>
        <w:tc>
          <w:tcPr>
            <w:tcW w:w="2076" w:type="dxa"/>
          </w:tcPr>
          <w:p w14:paraId="409A1DC8" w14:textId="20A8DD6E" w:rsidR="00F51DFC" w:rsidRPr="00064659" w:rsidRDefault="00F51DFC" w:rsidP="00B747F3">
            <w:pPr>
              <w:pStyle w:val="OECD-BASIS-TEXT"/>
              <w:jc w:val="left"/>
              <w:rPr>
                <w:color w:val="auto"/>
                <w:sz w:val="22"/>
                <w:szCs w:val="22"/>
              </w:rPr>
            </w:pPr>
            <w:bookmarkStart w:id="13" w:name="_Hlk75959860"/>
            <w:r w:rsidRPr="00064659">
              <w:rPr>
                <w:color w:val="auto"/>
                <w:sz w:val="22"/>
                <w:szCs w:val="22"/>
              </w:rPr>
              <w:t>Data point addressed</w:t>
            </w:r>
          </w:p>
        </w:tc>
        <w:tc>
          <w:tcPr>
            <w:tcW w:w="7280" w:type="dxa"/>
          </w:tcPr>
          <w:p w14:paraId="73756768" w14:textId="77777777" w:rsidR="00F51DFC" w:rsidRPr="00064659" w:rsidRDefault="1CB844FC" w:rsidP="00B747F3">
            <w:pPr>
              <w:pStyle w:val="OECD-BASIS-TEXT"/>
              <w:jc w:val="left"/>
              <w:rPr>
                <w:color w:val="auto"/>
                <w:sz w:val="22"/>
                <w:szCs w:val="22"/>
              </w:rPr>
            </w:pPr>
            <w:r w:rsidRPr="6619CC24">
              <w:rPr>
                <w:color w:val="auto"/>
                <w:sz w:val="22"/>
                <w:szCs w:val="22"/>
              </w:rPr>
              <w:t>IIIM 5.1.1/04</w:t>
            </w:r>
          </w:p>
        </w:tc>
      </w:tr>
      <w:tr w:rsidR="00F51DFC" w:rsidRPr="00913047" w14:paraId="3E8327D0" w14:textId="77777777" w:rsidTr="00EE27EB">
        <w:trPr>
          <w:trHeight w:val="180"/>
        </w:trPr>
        <w:tc>
          <w:tcPr>
            <w:tcW w:w="2076" w:type="dxa"/>
          </w:tcPr>
          <w:p w14:paraId="5E02EB47" w14:textId="77777777" w:rsidR="00F51DFC" w:rsidRPr="00064659" w:rsidRDefault="00F51DFC" w:rsidP="00B747F3">
            <w:pPr>
              <w:pStyle w:val="OECD-BASIS-TEXT"/>
              <w:jc w:val="left"/>
              <w:rPr>
                <w:color w:val="auto"/>
                <w:sz w:val="22"/>
                <w:szCs w:val="22"/>
              </w:rPr>
            </w:pPr>
            <w:r w:rsidRPr="00064659">
              <w:rPr>
                <w:color w:val="auto"/>
                <w:sz w:val="22"/>
                <w:szCs w:val="22"/>
              </w:rPr>
              <w:t>Author(s) (year)</w:t>
            </w:r>
          </w:p>
        </w:tc>
        <w:tc>
          <w:tcPr>
            <w:tcW w:w="7280" w:type="dxa"/>
          </w:tcPr>
          <w:p w14:paraId="3108ED44" w14:textId="5B77B40D" w:rsidR="00F51DFC" w:rsidRPr="00B837C3" w:rsidRDefault="00F51DFC" w:rsidP="00B747F3">
            <w:pPr>
              <w:pStyle w:val="OECD-BASIS-TEXT"/>
              <w:jc w:val="left"/>
              <w:rPr>
                <w:color w:val="auto"/>
                <w:sz w:val="22"/>
                <w:szCs w:val="22"/>
                <w:lang w:val="da-DK"/>
              </w:rPr>
            </w:pPr>
            <w:r w:rsidRPr="00B837C3">
              <w:rPr>
                <w:color w:val="auto"/>
                <w:sz w:val="22"/>
                <w:szCs w:val="22"/>
                <w:lang w:val="da-DK"/>
              </w:rPr>
              <w:t xml:space="preserve">Dulmage, H.T., Boening, O.P., Rehnborg, C.S., </w:t>
            </w:r>
            <w:r w:rsidR="00E10A64" w:rsidRPr="00B837C3">
              <w:rPr>
                <w:color w:val="auto"/>
                <w:sz w:val="22"/>
                <w:szCs w:val="22"/>
                <w:lang w:val="da-DK"/>
              </w:rPr>
              <w:t xml:space="preserve">and </w:t>
            </w:r>
            <w:r w:rsidRPr="00B837C3">
              <w:rPr>
                <w:color w:val="auto"/>
                <w:sz w:val="22"/>
                <w:szCs w:val="22"/>
                <w:lang w:val="da-DK"/>
              </w:rPr>
              <w:t>Hansen, G.D. (1971)</w:t>
            </w:r>
          </w:p>
        </w:tc>
      </w:tr>
      <w:tr w:rsidR="00F51DFC" w:rsidRPr="00064659" w14:paraId="0E1060E0" w14:textId="77777777" w:rsidTr="00EE27EB">
        <w:trPr>
          <w:trHeight w:val="171"/>
        </w:trPr>
        <w:tc>
          <w:tcPr>
            <w:tcW w:w="2076" w:type="dxa"/>
          </w:tcPr>
          <w:p w14:paraId="489B35CC" w14:textId="77777777" w:rsidR="00F51DFC" w:rsidRPr="00064659" w:rsidRDefault="00F51DFC" w:rsidP="00B747F3">
            <w:pPr>
              <w:pStyle w:val="OECD-BASIS-TEXT"/>
              <w:jc w:val="left"/>
              <w:rPr>
                <w:color w:val="auto"/>
                <w:sz w:val="22"/>
                <w:szCs w:val="22"/>
              </w:rPr>
            </w:pPr>
            <w:r w:rsidRPr="00064659">
              <w:rPr>
                <w:color w:val="auto"/>
                <w:sz w:val="22"/>
                <w:szCs w:val="22"/>
              </w:rPr>
              <w:t>Title</w:t>
            </w:r>
          </w:p>
        </w:tc>
        <w:tc>
          <w:tcPr>
            <w:tcW w:w="7280" w:type="dxa"/>
          </w:tcPr>
          <w:p w14:paraId="056BA7C8" w14:textId="30332D68" w:rsidR="00F51DFC" w:rsidRPr="00064659" w:rsidRDefault="00F51DFC" w:rsidP="605A97F6">
            <w:pPr>
              <w:pStyle w:val="Nagwek3"/>
              <w:numPr>
                <w:ilvl w:val="2"/>
                <w:numId w:val="0"/>
              </w:numPr>
              <w:shd w:val="clear" w:color="auto" w:fill="FFFFFF" w:themeFill="background1"/>
              <w:spacing w:before="0" w:after="30" w:line="285" w:lineRule="atLeast"/>
              <w:ind w:right="1503"/>
              <w:rPr>
                <w:rFonts w:cs="Times New Roman"/>
                <w:b w:val="0"/>
                <w:color w:val="auto"/>
                <w:sz w:val="22"/>
                <w:szCs w:val="22"/>
                <w:lang w:val="en-US"/>
              </w:rPr>
            </w:pPr>
            <w:r w:rsidRPr="605A97F6">
              <w:rPr>
                <w:rFonts w:cs="Times New Roman"/>
                <w:b w:val="0"/>
                <w:color w:val="auto"/>
                <w:sz w:val="22"/>
                <w:szCs w:val="22"/>
              </w:rPr>
              <w:t xml:space="preserve">A proposed standardized bioassay for formulations of </w:t>
            </w:r>
            <w:r w:rsidRPr="605A97F6">
              <w:rPr>
                <w:rFonts w:cs="Times New Roman"/>
                <w:b w:val="0"/>
                <w:i/>
                <w:iCs/>
                <w:color w:val="auto"/>
                <w:sz w:val="22"/>
                <w:szCs w:val="22"/>
              </w:rPr>
              <w:t>Bacillus thuringiensis</w:t>
            </w:r>
            <w:r w:rsidRPr="605A97F6">
              <w:rPr>
                <w:rFonts w:cs="Times New Roman"/>
                <w:b w:val="0"/>
                <w:color w:val="auto"/>
                <w:sz w:val="22"/>
                <w:szCs w:val="22"/>
              </w:rPr>
              <w:t xml:space="preserve"> based on the international unit</w:t>
            </w:r>
          </w:p>
        </w:tc>
      </w:tr>
      <w:tr w:rsidR="00F51DFC" w:rsidRPr="00064659" w14:paraId="7658399F" w14:textId="77777777" w:rsidTr="00EE27EB">
        <w:trPr>
          <w:trHeight w:val="171"/>
        </w:trPr>
        <w:tc>
          <w:tcPr>
            <w:tcW w:w="2076" w:type="dxa"/>
          </w:tcPr>
          <w:p w14:paraId="25613437" w14:textId="0FBB5497" w:rsidR="00F51DFC" w:rsidRPr="00064659" w:rsidRDefault="00F51DFC" w:rsidP="00B747F3">
            <w:pPr>
              <w:pStyle w:val="OECD-BASIS-TEXT"/>
              <w:jc w:val="left"/>
              <w:rPr>
                <w:color w:val="auto"/>
                <w:sz w:val="22"/>
                <w:szCs w:val="22"/>
              </w:rPr>
            </w:pPr>
            <w:r w:rsidRPr="00064659">
              <w:rPr>
                <w:color w:val="auto"/>
                <w:sz w:val="22"/>
                <w:szCs w:val="22"/>
              </w:rPr>
              <w:t>Report number</w:t>
            </w:r>
          </w:p>
        </w:tc>
        <w:tc>
          <w:tcPr>
            <w:tcW w:w="7280" w:type="dxa"/>
          </w:tcPr>
          <w:p w14:paraId="1D1CD65C" w14:textId="2375DF01" w:rsidR="00F51DFC" w:rsidRPr="00064659" w:rsidRDefault="00F51DFC" w:rsidP="00B747F3">
            <w:pPr>
              <w:pStyle w:val="Default"/>
              <w:rPr>
                <w:color w:val="auto"/>
                <w:sz w:val="22"/>
                <w:szCs w:val="22"/>
              </w:rPr>
            </w:pPr>
            <w:r w:rsidRPr="00064659">
              <w:rPr>
                <w:color w:val="auto"/>
                <w:sz w:val="22"/>
                <w:szCs w:val="22"/>
              </w:rPr>
              <w:t>Journal of Invertebrate Pathology, Vol</w:t>
            </w:r>
            <w:r w:rsidR="00E10A64">
              <w:rPr>
                <w:color w:val="auto"/>
                <w:sz w:val="22"/>
                <w:szCs w:val="22"/>
              </w:rPr>
              <w:t>.</w:t>
            </w:r>
            <w:r w:rsidRPr="00064659">
              <w:rPr>
                <w:color w:val="auto"/>
                <w:sz w:val="22"/>
                <w:szCs w:val="22"/>
              </w:rPr>
              <w:t xml:space="preserve"> 18, Issue 2, p</w:t>
            </w:r>
            <w:r w:rsidR="00E10A64">
              <w:rPr>
                <w:color w:val="auto"/>
                <w:sz w:val="22"/>
                <w:szCs w:val="22"/>
              </w:rPr>
              <w:t>.</w:t>
            </w:r>
            <w:r w:rsidRPr="00064659">
              <w:rPr>
                <w:color w:val="auto"/>
                <w:sz w:val="22"/>
                <w:szCs w:val="22"/>
              </w:rPr>
              <w:t xml:space="preserve"> 240-245</w:t>
            </w:r>
          </w:p>
        </w:tc>
      </w:tr>
      <w:tr w:rsidR="00F51DFC" w:rsidRPr="00064659" w14:paraId="2F6D9E84" w14:textId="77777777" w:rsidTr="00EE27EB">
        <w:trPr>
          <w:trHeight w:val="180"/>
        </w:trPr>
        <w:tc>
          <w:tcPr>
            <w:tcW w:w="2076" w:type="dxa"/>
          </w:tcPr>
          <w:p w14:paraId="31A77D6D" w14:textId="69D0F106" w:rsidR="00F51DFC" w:rsidRPr="00064659" w:rsidRDefault="00F51DFC" w:rsidP="00B747F3">
            <w:pPr>
              <w:pStyle w:val="OECD-BASIS-TEXT"/>
              <w:jc w:val="left"/>
              <w:rPr>
                <w:color w:val="auto"/>
                <w:sz w:val="22"/>
                <w:szCs w:val="22"/>
              </w:rPr>
            </w:pPr>
            <w:r w:rsidRPr="00064659">
              <w:rPr>
                <w:color w:val="auto"/>
                <w:sz w:val="22"/>
                <w:szCs w:val="22"/>
              </w:rPr>
              <w:t>Test facility</w:t>
            </w:r>
          </w:p>
        </w:tc>
        <w:tc>
          <w:tcPr>
            <w:tcW w:w="7280" w:type="dxa"/>
          </w:tcPr>
          <w:p w14:paraId="01839166" w14:textId="09437DC3" w:rsidR="00F51DFC" w:rsidRPr="00064659" w:rsidRDefault="00F51DFC" w:rsidP="00B747F3">
            <w:pPr>
              <w:pStyle w:val="OECD-BASIS-TEXT"/>
              <w:jc w:val="left"/>
              <w:rPr>
                <w:color w:val="auto"/>
                <w:sz w:val="22"/>
                <w:szCs w:val="22"/>
              </w:rPr>
            </w:pPr>
            <w:r w:rsidRPr="00064659">
              <w:rPr>
                <w:color w:val="auto"/>
                <w:sz w:val="22"/>
                <w:szCs w:val="22"/>
              </w:rPr>
              <w:t>Not applicable</w:t>
            </w:r>
          </w:p>
        </w:tc>
      </w:tr>
      <w:tr w:rsidR="00F51DFC" w:rsidRPr="00064659" w14:paraId="27C2F99A" w14:textId="77777777" w:rsidTr="00EE27EB">
        <w:trPr>
          <w:trHeight w:val="171"/>
        </w:trPr>
        <w:tc>
          <w:tcPr>
            <w:tcW w:w="2076" w:type="dxa"/>
          </w:tcPr>
          <w:p w14:paraId="1B670B18" w14:textId="77777777" w:rsidR="00F51DFC" w:rsidRPr="00064659" w:rsidRDefault="00F51DFC" w:rsidP="00B747F3">
            <w:pPr>
              <w:pStyle w:val="OECD-BASIS-TEXT"/>
              <w:jc w:val="left"/>
              <w:rPr>
                <w:color w:val="auto"/>
                <w:sz w:val="22"/>
                <w:szCs w:val="22"/>
              </w:rPr>
            </w:pPr>
            <w:r w:rsidRPr="00064659">
              <w:rPr>
                <w:color w:val="auto"/>
                <w:sz w:val="22"/>
                <w:szCs w:val="22"/>
              </w:rPr>
              <w:t>Published</w:t>
            </w:r>
          </w:p>
        </w:tc>
        <w:tc>
          <w:tcPr>
            <w:tcW w:w="7280" w:type="dxa"/>
          </w:tcPr>
          <w:p w14:paraId="5B214E3A" w14:textId="77777777" w:rsidR="00F51DFC" w:rsidRPr="00064659" w:rsidRDefault="00F51DFC" w:rsidP="00B747F3">
            <w:pPr>
              <w:pStyle w:val="OECD-BASIS-TEXT"/>
              <w:jc w:val="left"/>
              <w:rPr>
                <w:color w:val="auto"/>
                <w:sz w:val="22"/>
                <w:szCs w:val="22"/>
              </w:rPr>
            </w:pPr>
            <w:r w:rsidRPr="00064659">
              <w:rPr>
                <w:color w:val="auto"/>
                <w:sz w:val="22"/>
                <w:szCs w:val="22"/>
              </w:rPr>
              <w:t>Yes</w:t>
            </w:r>
          </w:p>
        </w:tc>
      </w:tr>
      <w:tr w:rsidR="00F51DFC" w:rsidRPr="00064659" w14:paraId="5E9917FB" w14:textId="77777777" w:rsidTr="00EE27EB">
        <w:trPr>
          <w:trHeight w:val="171"/>
        </w:trPr>
        <w:tc>
          <w:tcPr>
            <w:tcW w:w="2076" w:type="dxa"/>
          </w:tcPr>
          <w:p w14:paraId="7DEE41BD" w14:textId="1F646705" w:rsidR="00F51DFC" w:rsidRPr="00064659" w:rsidRDefault="00F51DFC" w:rsidP="00B747F3">
            <w:pPr>
              <w:pStyle w:val="OECD-BASIS-TEXT"/>
              <w:jc w:val="left"/>
              <w:rPr>
                <w:color w:val="auto"/>
                <w:sz w:val="22"/>
                <w:szCs w:val="22"/>
              </w:rPr>
            </w:pPr>
            <w:r w:rsidRPr="00064659">
              <w:rPr>
                <w:color w:val="auto"/>
                <w:sz w:val="22"/>
                <w:szCs w:val="22"/>
              </w:rPr>
              <w:t>Test guideline</w:t>
            </w:r>
          </w:p>
        </w:tc>
        <w:tc>
          <w:tcPr>
            <w:tcW w:w="7280" w:type="dxa"/>
          </w:tcPr>
          <w:p w14:paraId="385CE3BA" w14:textId="7D3C492C" w:rsidR="00F51DFC" w:rsidRPr="00064659" w:rsidRDefault="00F51DFC" w:rsidP="00B747F3">
            <w:pPr>
              <w:pStyle w:val="OECD-BASIS-TEXT"/>
              <w:jc w:val="left"/>
              <w:rPr>
                <w:color w:val="auto"/>
                <w:sz w:val="22"/>
                <w:szCs w:val="22"/>
              </w:rPr>
            </w:pPr>
            <w:r w:rsidRPr="00064659">
              <w:rPr>
                <w:color w:val="auto"/>
                <w:sz w:val="22"/>
                <w:szCs w:val="22"/>
              </w:rPr>
              <w:t>Not applicable</w:t>
            </w:r>
          </w:p>
        </w:tc>
      </w:tr>
      <w:tr w:rsidR="00F51DFC" w:rsidRPr="00064659" w14:paraId="7C5A138C" w14:textId="77777777" w:rsidTr="00EE27EB">
        <w:trPr>
          <w:trHeight w:val="171"/>
        </w:trPr>
        <w:tc>
          <w:tcPr>
            <w:tcW w:w="2076" w:type="dxa"/>
          </w:tcPr>
          <w:p w14:paraId="3239E7FA" w14:textId="77777777" w:rsidR="00F51DFC" w:rsidRPr="00064659" w:rsidRDefault="00F51DFC" w:rsidP="00B747F3">
            <w:pPr>
              <w:pStyle w:val="OECD-BASIS-TEXT"/>
              <w:jc w:val="left"/>
              <w:rPr>
                <w:color w:val="auto"/>
                <w:sz w:val="22"/>
                <w:szCs w:val="22"/>
              </w:rPr>
            </w:pPr>
            <w:r w:rsidRPr="00064659">
              <w:rPr>
                <w:color w:val="auto"/>
                <w:sz w:val="22"/>
                <w:szCs w:val="22"/>
              </w:rPr>
              <w:t>Deviations</w:t>
            </w:r>
          </w:p>
        </w:tc>
        <w:tc>
          <w:tcPr>
            <w:tcW w:w="7280" w:type="dxa"/>
          </w:tcPr>
          <w:p w14:paraId="72853BF5" w14:textId="0CD02B0D" w:rsidR="00F51DFC" w:rsidRPr="00064659" w:rsidRDefault="00F51DFC" w:rsidP="00B747F3">
            <w:pPr>
              <w:pStyle w:val="OECD-BASIS-TEXT"/>
              <w:jc w:val="left"/>
              <w:rPr>
                <w:color w:val="auto"/>
                <w:sz w:val="22"/>
                <w:szCs w:val="22"/>
              </w:rPr>
            </w:pPr>
            <w:r w:rsidRPr="00064659">
              <w:rPr>
                <w:color w:val="auto"/>
                <w:sz w:val="22"/>
                <w:szCs w:val="22"/>
              </w:rPr>
              <w:t>Not applicable</w:t>
            </w:r>
          </w:p>
        </w:tc>
      </w:tr>
      <w:tr w:rsidR="00F51DFC" w:rsidRPr="00064659" w14:paraId="52CE13CC" w14:textId="77777777" w:rsidTr="00EE27EB">
        <w:trPr>
          <w:trHeight w:val="180"/>
        </w:trPr>
        <w:tc>
          <w:tcPr>
            <w:tcW w:w="2076" w:type="dxa"/>
          </w:tcPr>
          <w:p w14:paraId="26ACD148" w14:textId="77777777" w:rsidR="00F51DFC" w:rsidRPr="00064659" w:rsidRDefault="00F51DFC" w:rsidP="00B747F3">
            <w:pPr>
              <w:pStyle w:val="OECD-BASIS-TEXT"/>
              <w:jc w:val="left"/>
              <w:rPr>
                <w:color w:val="auto"/>
                <w:sz w:val="22"/>
                <w:szCs w:val="22"/>
              </w:rPr>
            </w:pPr>
            <w:r w:rsidRPr="00064659">
              <w:rPr>
                <w:color w:val="auto"/>
                <w:sz w:val="22"/>
                <w:szCs w:val="22"/>
              </w:rPr>
              <w:t>GLP</w:t>
            </w:r>
          </w:p>
        </w:tc>
        <w:tc>
          <w:tcPr>
            <w:tcW w:w="7280" w:type="dxa"/>
          </w:tcPr>
          <w:p w14:paraId="4EE56E87" w14:textId="77777777" w:rsidR="00F51DFC" w:rsidRPr="00064659" w:rsidRDefault="00F51DFC" w:rsidP="00B747F3">
            <w:pPr>
              <w:pStyle w:val="OECD-BASIS-TEXT"/>
              <w:jc w:val="left"/>
              <w:rPr>
                <w:color w:val="auto"/>
                <w:sz w:val="22"/>
                <w:szCs w:val="22"/>
              </w:rPr>
            </w:pPr>
            <w:r w:rsidRPr="00064659">
              <w:rPr>
                <w:color w:val="auto"/>
                <w:sz w:val="22"/>
                <w:szCs w:val="22"/>
              </w:rPr>
              <w:t>No</w:t>
            </w:r>
          </w:p>
        </w:tc>
      </w:tr>
      <w:bookmarkEnd w:id="13"/>
    </w:tbl>
    <w:p w14:paraId="46DA6262" w14:textId="77777777" w:rsidR="00F51DFC" w:rsidRPr="00064659" w:rsidRDefault="00F51DFC" w:rsidP="00F51DFC">
      <w:pPr>
        <w:tabs>
          <w:tab w:val="clear" w:pos="720"/>
        </w:tabs>
        <w:spacing w:after="0"/>
        <w:rPr>
          <w:b/>
          <w:bCs/>
          <w:sz w:val="22"/>
          <w:szCs w:val="22"/>
          <w:u w:val="single"/>
        </w:rPr>
      </w:pPr>
    </w:p>
    <w:p w14:paraId="42FD2B4F" w14:textId="77777777" w:rsidR="00F51DFC" w:rsidRPr="00064659" w:rsidRDefault="00F51DFC" w:rsidP="00F51DFC">
      <w:pPr>
        <w:tabs>
          <w:tab w:val="clear" w:pos="720"/>
        </w:tabs>
        <w:rPr>
          <w:b/>
          <w:bCs/>
          <w:sz w:val="22"/>
          <w:szCs w:val="22"/>
          <w:u w:val="single"/>
        </w:rPr>
      </w:pPr>
      <w:r w:rsidRPr="00064659">
        <w:rPr>
          <w:b/>
          <w:bCs/>
          <w:sz w:val="22"/>
          <w:szCs w:val="22"/>
          <w:u w:val="single"/>
        </w:rPr>
        <w:t>Abstract</w:t>
      </w:r>
    </w:p>
    <w:bookmarkEnd w:id="12"/>
    <w:p w14:paraId="05734A26" w14:textId="7388C10B" w:rsidR="00F51DFC" w:rsidRPr="00064659" w:rsidRDefault="00F51DFC" w:rsidP="00F51DFC">
      <w:pPr>
        <w:spacing w:after="0"/>
        <w:jc w:val="both"/>
        <w:rPr>
          <w:sz w:val="22"/>
          <w:szCs w:val="22"/>
        </w:rPr>
      </w:pPr>
      <w:r w:rsidRPr="00064659">
        <w:rPr>
          <w:sz w:val="22"/>
          <w:szCs w:val="22"/>
        </w:rPr>
        <w:t>Since standardization of preparations of</w:t>
      </w:r>
      <w:r w:rsidR="003D3807">
        <w:rPr>
          <w:sz w:val="22"/>
          <w:szCs w:val="22"/>
        </w:rPr>
        <w:t xml:space="preserve"> </w:t>
      </w:r>
      <w:r w:rsidRPr="00064659">
        <w:rPr>
          <w:rStyle w:val="Uwydatnienie"/>
          <w:sz w:val="22"/>
          <w:szCs w:val="22"/>
        </w:rPr>
        <w:t>Bacillus thuringiensis</w:t>
      </w:r>
      <w:r w:rsidRPr="00064659">
        <w:rPr>
          <w:sz w:val="22"/>
          <w:szCs w:val="22"/>
        </w:rPr>
        <w:t> containing the δ-endotoxin cannot be accomplished by spore count alone, a bioassay is needed. However, before a bioassay can enjoy widespread use, there must be a generally accepted bioassay procedure. A bioassay based on the international unit (IU) and using the cabbage looper,</w:t>
      </w:r>
      <w:r w:rsidR="003D3807">
        <w:rPr>
          <w:sz w:val="22"/>
          <w:szCs w:val="22"/>
        </w:rPr>
        <w:t xml:space="preserve"> </w:t>
      </w:r>
      <w:r w:rsidRPr="00064659">
        <w:rPr>
          <w:rStyle w:val="Uwydatnienie"/>
          <w:sz w:val="22"/>
          <w:szCs w:val="22"/>
        </w:rPr>
        <w:t>Trichoplusia ni</w:t>
      </w:r>
      <w:r w:rsidRPr="00064659">
        <w:rPr>
          <w:sz w:val="22"/>
          <w:szCs w:val="22"/>
        </w:rPr>
        <w:t xml:space="preserve">, is proposed to </w:t>
      </w:r>
      <w:r w:rsidR="002C7A7F" w:rsidRPr="00064659">
        <w:rPr>
          <w:sz w:val="22"/>
          <w:szCs w:val="22"/>
        </w:rPr>
        <w:t>fulfil</w:t>
      </w:r>
      <w:r w:rsidRPr="00064659">
        <w:rPr>
          <w:sz w:val="22"/>
          <w:szCs w:val="22"/>
        </w:rPr>
        <w:t xml:space="preserve"> this requirement. In this assay, the product is incorporated into an alfalfa meal-based diet, and 15–25 mg larvae are allowed to feed on the diet for 5 days. At the end of the test period, activity is measured by determining the LD</w:t>
      </w:r>
      <w:r w:rsidRPr="00064659">
        <w:rPr>
          <w:sz w:val="22"/>
          <w:szCs w:val="22"/>
          <w:vertAlign w:val="subscript"/>
        </w:rPr>
        <w:t>50</w:t>
      </w:r>
      <w:r w:rsidR="002826AD">
        <w:rPr>
          <w:sz w:val="22"/>
          <w:szCs w:val="22"/>
        </w:rPr>
        <w:t xml:space="preserve"> </w:t>
      </w:r>
      <w:r w:rsidRPr="00064659">
        <w:rPr>
          <w:sz w:val="22"/>
          <w:szCs w:val="22"/>
        </w:rPr>
        <w:t>of the test material and comparing it with that of a standard preparation. Potency is then expressed as IU/mg.</w:t>
      </w:r>
    </w:p>
    <w:p w14:paraId="32F03C1E" w14:textId="54BB3424" w:rsidR="00F51DFC" w:rsidRPr="00064659" w:rsidRDefault="00F51DFC" w:rsidP="00F51DFC">
      <w:pPr>
        <w:pStyle w:val="OECD-HeadLine1"/>
      </w:pPr>
      <w:bookmarkStart w:id="14" w:name="_Toc142473973"/>
      <w:r w:rsidRPr="00064659">
        <w:lastRenderedPageBreak/>
        <w:t>IIIM 5.1.2</w:t>
      </w:r>
      <w:r w:rsidRPr="00064659">
        <w:tab/>
      </w:r>
      <w:bookmarkEnd w:id="10"/>
      <w:bookmarkEnd w:id="11"/>
      <w:r w:rsidRPr="00064659">
        <w:t>Methods to detect spontaneous change in major characteristics of microorganism</w:t>
      </w:r>
      <w:bookmarkEnd w:id="14"/>
    </w:p>
    <w:p w14:paraId="453F1A19" w14:textId="2CCC24B8" w:rsidR="00F51DFC" w:rsidRPr="00064659" w:rsidRDefault="00F51DFC" w:rsidP="00F51DFC">
      <w:pPr>
        <w:spacing w:after="0"/>
        <w:jc w:val="both"/>
      </w:pPr>
      <w:r w:rsidRPr="605A97F6">
        <w:rPr>
          <w:i/>
          <w:iCs/>
          <w:sz w:val="22"/>
          <w:szCs w:val="22"/>
        </w:rPr>
        <w:t>Bacillus thuringiensis</w:t>
      </w:r>
      <w:r w:rsidRPr="00064659">
        <w:rPr>
          <w:sz w:val="22"/>
          <w:szCs w:val="22"/>
        </w:rPr>
        <w:t xml:space="preserve"> subsp. </w:t>
      </w:r>
      <w:r w:rsidRPr="605A97F6">
        <w:rPr>
          <w:i/>
          <w:iCs/>
          <w:sz w:val="22"/>
          <w:szCs w:val="22"/>
        </w:rPr>
        <w:t>kurstaki</w:t>
      </w:r>
      <w:r w:rsidRPr="00064659">
        <w:rPr>
          <w:sz w:val="22"/>
          <w:szCs w:val="22"/>
        </w:rPr>
        <w:t xml:space="preserve"> </w:t>
      </w:r>
      <w:r w:rsidR="38A32414" w:rsidRPr="00064659">
        <w:rPr>
          <w:sz w:val="22"/>
          <w:szCs w:val="22"/>
        </w:rPr>
        <w:t>s</w:t>
      </w:r>
      <w:r w:rsidRPr="00064659">
        <w:rPr>
          <w:sz w:val="22"/>
          <w:szCs w:val="22"/>
        </w:rPr>
        <w:t xml:space="preserve">train ABTS-351 is a wild </w:t>
      </w:r>
      <w:bookmarkStart w:id="15" w:name="_Int_z3u2y8q5"/>
      <w:r w:rsidRPr="00064659">
        <w:rPr>
          <w:sz w:val="22"/>
          <w:szCs w:val="22"/>
        </w:rPr>
        <w:t>type</w:t>
      </w:r>
      <w:bookmarkEnd w:id="15"/>
      <w:r w:rsidRPr="00064659">
        <w:rPr>
          <w:sz w:val="22"/>
          <w:szCs w:val="22"/>
        </w:rPr>
        <w:t xml:space="preserve"> strain and not a mutant or genetically modified. In theory, a strain alteration can occur within a strain through genetic mutation or plasmid loss. However, in practice, </w:t>
      </w:r>
      <w:r w:rsidRPr="00064659">
        <w:rPr>
          <w:sz w:val="22"/>
          <w:szCs w:val="22"/>
          <w:lang w:val="en-US"/>
        </w:rPr>
        <w:t xml:space="preserve">due to mass-transfer inoculations, the possibility that gene mutation(s) might occur during the limited time of a fermentation, and that the mutant population would reach detectable levels, is very low. Spontaneous mutations have been found to occur in </w:t>
      </w:r>
      <w:r w:rsidRPr="605A97F6">
        <w:rPr>
          <w:i/>
          <w:iCs/>
          <w:sz w:val="22"/>
          <w:szCs w:val="22"/>
        </w:rPr>
        <w:t>B. thuringiensis</w:t>
      </w:r>
      <w:r w:rsidRPr="00064659">
        <w:rPr>
          <w:sz w:val="22"/>
          <w:szCs w:val="22"/>
        </w:rPr>
        <w:t xml:space="preserve"> bacteria </w:t>
      </w:r>
      <w:r w:rsidRPr="00064659">
        <w:rPr>
          <w:sz w:val="22"/>
          <w:szCs w:val="22"/>
          <w:lang w:val="en-US"/>
        </w:rPr>
        <w:t>at the levels of one mutation per 10</w:t>
      </w:r>
      <w:r w:rsidRPr="00064659">
        <w:rPr>
          <w:sz w:val="22"/>
          <w:szCs w:val="22"/>
          <w:vertAlign w:val="superscript"/>
          <w:lang w:val="en-US"/>
        </w:rPr>
        <w:t>7</w:t>
      </w:r>
      <w:r w:rsidRPr="00064659">
        <w:rPr>
          <w:sz w:val="22"/>
          <w:szCs w:val="22"/>
          <w:lang w:val="en-US"/>
        </w:rPr>
        <w:t xml:space="preserve"> to 10</w:t>
      </w:r>
      <w:r w:rsidRPr="00064659">
        <w:rPr>
          <w:sz w:val="22"/>
          <w:szCs w:val="22"/>
          <w:vertAlign w:val="superscript"/>
          <w:lang w:val="en-US"/>
        </w:rPr>
        <w:t>11</w:t>
      </w:r>
      <w:r w:rsidRPr="00064659">
        <w:rPr>
          <w:sz w:val="22"/>
          <w:szCs w:val="22"/>
          <w:lang w:val="en-US"/>
        </w:rPr>
        <w:t xml:space="preserve"> cells</w:t>
      </w:r>
      <w:r w:rsidRPr="00064659">
        <w:rPr>
          <w:sz w:val="22"/>
          <w:szCs w:val="22"/>
          <w:vertAlign w:val="superscript"/>
          <w:lang w:val="en-US"/>
        </w:rPr>
        <w:footnoteReference w:id="2"/>
      </w:r>
      <w:r w:rsidRPr="00064659">
        <w:rPr>
          <w:sz w:val="22"/>
          <w:szCs w:val="22"/>
          <w:lang w:val="en-US"/>
        </w:rPr>
        <w:t xml:space="preserve">, and many of these mutations are deleterious or lethal to the cell. Furthermore, the chance for a mutation to be manifested as an altered crystal protein is even lower because the crystal protein is only one of thousands of gene products of the </w:t>
      </w:r>
      <w:r w:rsidRPr="605A97F6">
        <w:rPr>
          <w:i/>
          <w:iCs/>
          <w:sz w:val="22"/>
          <w:szCs w:val="22"/>
        </w:rPr>
        <w:t>B. thuringiensis</w:t>
      </w:r>
      <w:r w:rsidRPr="00064659">
        <w:rPr>
          <w:sz w:val="22"/>
          <w:szCs w:val="22"/>
          <w:lang w:val="en-US"/>
        </w:rPr>
        <w:t xml:space="preserve"> microorganism. At such low frequency, non-mutated cells would mask any surviving mutant that occurs during the fermentation process.</w:t>
      </w:r>
    </w:p>
    <w:p w14:paraId="20D90AB3" w14:textId="77777777" w:rsidR="00F51DFC" w:rsidRPr="00064659" w:rsidRDefault="00F51DFC" w:rsidP="00F51DFC">
      <w:pPr>
        <w:spacing w:after="0"/>
        <w:jc w:val="both"/>
      </w:pPr>
    </w:p>
    <w:p w14:paraId="417C31CB" w14:textId="63EDA51A" w:rsidR="00F51DFC" w:rsidRPr="00064659" w:rsidRDefault="00F51DFC" w:rsidP="000540D9">
      <w:pPr>
        <w:jc w:val="both"/>
      </w:pPr>
      <w:r w:rsidRPr="605A97F6">
        <w:rPr>
          <w:sz w:val="22"/>
          <w:szCs w:val="22"/>
          <w:lang w:val="en-US"/>
        </w:rPr>
        <w:t xml:space="preserve">To ensure that no modifications occur to the production culture during growth and fermentation, all production runs are inoculated with sub-samples of the original strain. Serial transfers from the original strain are minimized. Mass transfers of the culture are used to avoid selection of a rare mutant. To ensure no contaminants are present, stringent sterility controls and precisely controlled growth conditions are used throughout the production process. Strain purity checks are routinely done at every transfer stage. The culture maintenance process previously described was developed to minimize the number of transfers and the possibility of genetic drift, and loss of plasmids during growth. Details of procedures typically used to prevent </w:t>
      </w:r>
      <w:r w:rsidRPr="605A97F6">
        <w:rPr>
          <w:sz w:val="22"/>
          <w:szCs w:val="22"/>
        </w:rPr>
        <w:t xml:space="preserve">any spontaneous modification in </w:t>
      </w:r>
      <w:r w:rsidRPr="605A97F6">
        <w:rPr>
          <w:i/>
          <w:iCs/>
          <w:sz w:val="22"/>
          <w:szCs w:val="22"/>
        </w:rPr>
        <w:t>B. thuringiensis</w:t>
      </w:r>
      <w:r w:rsidRPr="605A97F6">
        <w:rPr>
          <w:sz w:val="22"/>
          <w:szCs w:val="22"/>
        </w:rPr>
        <w:t xml:space="preserve"> </w:t>
      </w:r>
      <w:r w:rsidRPr="00840915">
        <w:rPr>
          <w:sz w:val="22"/>
          <w:szCs w:val="22"/>
        </w:rPr>
        <w:t>susbp.</w:t>
      </w:r>
      <w:r w:rsidRPr="605A97F6">
        <w:rPr>
          <w:sz w:val="22"/>
          <w:szCs w:val="22"/>
        </w:rPr>
        <w:t xml:space="preserve"> </w:t>
      </w:r>
      <w:r w:rsidRPr="605A97F6">
        <w:rPr>
          <w:i/>
          <w:iCs/>
          <w:sz w:val="22"/>
          <w:szCs w:val="22"/>
        </w:rPr>
        <w:t xml:space="preserve">kurstkaki </w:t>
      </w:r>
      <w:r w:rsidRPr="605A97F6">
        <w:rPr>
          <w:sz w:val="22"/>
          <w:szCs w:val="22"/>
        </w:rPr>
        <w:t>(and other related strains)</w:t>
      </w:r>
      <w:r w:rsidRPr="605A97F6">
        <w:rPr>
          <w:i/>
          <w:iCs/>
          <w:sz w:val="22"/>
          <w:szCs w:val="22"/>
        </w:rPr>
        <w:t xml:space="preserve"> </w:t>
      </w:r>
      <w:r w:rsidRPr="605A97F6">
        <w:rPr>
          <w:sz w:val="22"/>
          <w:szCs w:val="22"/>
        </w:rPr>
        <w:t>are</w:t>
      </w:r>
      <w:r w:rsidRPr="605A97F6">
        <w:rPr>
          <w:i/>
          <w:iCs/>
          <w:sz w:val="22"/>
          <w:szCs w:val="22"/>
        </w:rPr>
        <w:t xml:space="preserve"> </w:t>
      </w:r>
      <w:r w:rsidRPr="605A97F6">
        <w:rPr>
          <w:sz w:val="22"/>
          <w:szCs w:val="22"/>
        </w:rPr>
        <w:t>described in Part C under IIIM 5.1.2</w:t>
      </w:r>
      <w:r w:rsidR="00840915" w:rsidRPr="00BB1976">
        <w:rPr>
          <w:sz w:val="22"/>
          <w:szCs w:val="22"/>
        </w:rPr>
        <w:t>/01</w:t>
      </w:r>
      <w:r w:rsidRPr="605A97F6">
        <w:rPr>
          <w:sz w:val="22"/>
          <w:szCs w:val="22"/>
        </w:rPr>
        <w:t xml:space="preserve"> (Smith, 1990). Smith (1990) has been evaluated during several phases of the EU approval process of </w:t>
      </w:r>
      <w:r w:rsidRPr="605A97F6">
        <w:rPr>
          <w:i/>
          <w:iCs/>
          <w:sz w:val="22"/>
          <w:szCs w:val="22"/>
        </w:rPr>
        <w:t>B. thuringiensis</w:t>
      </w:r>
      <w:r w:rsidRPr="605A97F6">
        <w:rPr>
          <w:sz w:val="22"/>
          <w:szCs w:val="22"/>
        </w:rPr>
        <w:t xml:space="preserve"> subsp. </w:t>
      </w:r>
      <w:r w:rsidRPr="605A97F6">
        <w:rPr>
          <w:i/>
          <w:iCs/>
          <w:sz w:val="22"/>
          <w:szCs w:val="22"/>
        </w:rPr>
        <w:t>kurstaki</w:t>
      </w:r>
      <w:r w:rsidRPr="605A97F6">
        <w:rPr>
          <w:sz w:val="22"/>
          <w:szCs w:val="22"/>
        </w:rPr>
        <w:t xml:space="preserve"> ABTS-351 (and similar strains) and is considered acceptable.</w:t>
      </w:r>
    </w:p>
    <w:p w14:paraId="548F1E7F" w14:textId="2A3E0F26" w:rsidR="00F51DFC" w:rsidRPr="00064659" w:rsidRDefault="00F51DFC" w:rsidP="00F51DFC">
      <w:pPr>
        <w:pStyle w:val="OECD-HeadLine1"/>
      </w:pPr>
      <w:bookmarkStart w:id="16" w:name="_Toc110674022"/>
      <w:bookmarkStart w:id="17" w:name="_Toc235957054"/>
      <w:bookmarkStart w:id="18" w:name="_Toc142473974"/>
      <w:r w:rsidRPr="00064659">
        <w:t>IIIM 5.1.3</w:t>
      </w:r>
      <w:r w:rsidRPr="00064659">
        <w:tab/>
      </w:r>
      <w:bookmarkEnd w:id="16"/>
      <w:bookmarkEnd w:id="17"/>
      <w:r w:rsidRPr="00064659">
        <w:t>Methods to define content of microorganism in appropriate terms (same as II</w:t>
      </w:r>
      <w:r w:rsidR="00DC2319">
        <w:t>I</w:t>
      </w:r>
      <w:r w:rsidRPr="00064659">
        <w:t>M 1.</w:t>
      </w:r>
      <w:r w:rsidR="00DC2319">
        <w:t>7</w:t>
      </w:r>
      <w:r w:rsidRPr="00064659">
        <w:t>.1), incl. standardisation, sensitivity, reproducibility, statistical validity, and representative data to validate the bioassay</w:t>
      </w:r>
      <w:bookmarkEnd w:id="18"/>
    </w:p>
    <w:p w14:paraId="1191E19B" w14:textId="4BE8EFCE" w:rsidR="00F51DFC" w:rsidRPr="00115A0C" w:rsidRDefault="00F51DFC" w:rsidP="00F51DFC">
      <w:pPr>
        <w:spacing w:after="0" w:line="280" w:lineRule="exact"/>
        <w:jc w:val="both"/>
        <w:rPr>
          <w:rFonts w:eastAsia="Calibri"/>
          <w:sz w:val="22"/>
          <w:szCs w:val="22"/>
        </w:rPr>
      </w:pPr>
      <w:bookmarkStart w:id="19" w:name="_Hlk76976550"/>
      <w:bookmarkStart w:id="20" w:name="_Toc110674023"/>
      <w:bookmarkStart w:id="21" w:name="_Toc235957055"/>
      <w:r w:rsidRPr="00231D23">
        <w:rPr>
          <w:rFonts w:eastAsia="Calibri"/>
          <w:sz w:val="22"/>
          <w:szCs w:val="22"/>
        </w:rPr>
        <w:t xml:space="preserve">The content of </w:t>
      </w:r>
      <w:r w:rsidRPr="00231D23">
        <w:rPr>
          <w:i/>
          <w:sz w:val="22"/>
          <w:szCs w:val="22"/>
        </w:rPr>
        <w:t>B. thuringiensis</w:t>
      </w:r>
      <w:r w:rsidRPr="00231D23">
        <w:rPr>
          <w:sz w:val="22"/>
          <w:szCs w:val="22"/>
        </w:rPr>
        <w:t xml:space="preserve"> s</w:t>
      </w:r>
      <w:r w:rsidR="003036BE">
        <w:rPr>
          <w:sz w:val="22"/>
          <w:szCs w:val="22"/>
        </w:rPr>
        <w:t>ub</w:t>
      </w:r>
      <w:r w:rsidRPr="00231D23">
        <w:rPr>
          <w:sz w:val="22"/>
          <w:szCs w:val="22"/>
        </w:rPr>
        <w:t xml:space="preserve">sp. </w:t>
      </w:r>
      <w:r w:rsidRPr="00231D23">
        <w:rPr>
          <w:i/>
          <w:sz w:val="22"/>
          <w:szCs w:val="22"/>
        </w:rPr>
        <w:t>kurstaki</w:t>
      </w:r>
      <w:r w:rsidRPr="00231D23">
        <w:rPr>
          <w:sz w:val="22"/>
          <w:szCs w:val="22"/>
        </w:rPr>
        <w:t>, strain ABTS-</w:t>
      </w:r>
      <w:r w:rsidRPr="00115A0C">
        <w:rPr>
          <w:sz w:val="22"/>
          <w:szCs w:val="22"/>
        </w:rPr>
        <w:t xml:space="preserve">351 </w:t>
      </w:r>
      <w:r w:rsidRPr="00115A0C">
        <w:rPr>
          <w:rFonts w:eastAsia="Calibri"/>
          <w:sz w:val="22"/>
          <w:szCs w:val="22"/>
        </w:rPr>
        <w:t>can be enumerated through multiple methods which are listed below:</w:t>
      </w:r>
    </w:p>
    <w:p w14:paraId="2488A744" w14:textId="3896D53F" w:rsidR="00F51DFC" w:rsidRPr="00115A0C" w:rsidRDefault="00F51DFC" w:rsidP="00F51DFC">
      <w:pPr>
        <w:pStyle w:val="Akapitzlist"/>
        <w:widowControl/>
        <w:numPr>
          <w:ilvl w:val="0"/>
          <w:numId w:val="23"/>
        </w:numPr>
        <w:tabs>
          <w:tab w:val="left" w:pos="720"/>
        </w:tabs>
        <w:spacing w:after="240"/>
        <w:rPr>
          <w:rFonts w:eastAsia="Calibri"/>
          <w:szCs w:val="22"/>
        </w:rPr>
      </w:pPr>
      <w:r w:rsidRPr="00115A0C">
        <w:rPr>
          <w:szCs w:val="22"/>
        </w:rPr>
        <w:t xml:space="preserve">Total bacterial spore count </w:t>
      </w:r>
      <w:r w:rsidR="00231D23" w:rsidRPr="00115A0C">
        <w:rPr>
          <w:szCs w:val="22"/>
        </w:rPr>
        <w:t xml:space="preserve">methods </w:t>
      </w:r>
      <w:r w:rsidRPr="00115A0C">
        <w:rPr>
          <w:szCs w:val="22"/>
        </w:rPr>
        <w:t xml:space="preserve">as described in Part C (confidential information) under </w:t>
      </w:r>
      <w:bookmarkStart w:id="22" w:name="_Hlk76982226"/>
      <w:r w:rsidR="00231D23" w:rsidRPr="00115A0C">
        <w:rPr>
          <w:szCs w:val="22"/>
        </w:rPr>
        <w:t xml:space="preserve">IIIM 1.7.1/01 and </w:t>
      </w:r>
      <w:r w:rsidRPr="00115A0C">
        <w:rPr>
          <w:szCs w:val="22"/>
        </w:rPr>
        <w:t>IIIM 5.1.3/01.</w:t>
      </w:r>
    </w:p>
    <w:bookmarkEnd w:id="22"/>
    <w:p w14:paraId="298598C5" w14:textId="1B8C3269" w:rsidR="00F51DFC" w:rsidRPr="00FC12F3" w:rsidRDefault="00F51DFC" w:rsidP="00F51DFC">
      <w:pPr>
        <w:pStyle w:val="Akapitzlist"/>
        <w:widowControl/>
        <w:numPr>
          <w:ilvl w:val="0"/>
          <w:numId w:val="23"/>
        </w:numPr>
        <w:tabs>
          <w:tab w:val="left" w:pos="720"/>
        </w:tabs>
        <w:spacing w:after="240"/>
        <w:rPr>
          <w:rFonts w:eastAsia="Calibri"/>
          <w:szCs w:val="22"/>
        </w:rPr>
      </w:pPr>
      <w:r w:rsidRPr="00FC12F3">
        <w:rPr>
          <w:rFonts w:eastAsia="Calibri"/>
          <w:color w:val="000000"/>
          <w:szCs w:val="22"/>
        </w:rPr>
        <w:t xml:space="preserve">Quantification of crystal proteins </w:t>
      </w:r>
      <w:r w:rsidRPr="00FC12F3">
        <w:rPr>
          <w:szCs w:val="22"/>
        </w:rPr>
        <w:t xml:space="preserve">as described in Part C (confidential information) under </w:t>
      </w:r>
      <w:r w:rsidR="00840915" w:rsidRPr="00FC12F3">
        <w:rPr>
          <w:szCs w:val="22"/>
        </w:rPr>
        <w:t xml:space="preserve">IIIM 1.7.1/03, </w:t>
      </w:r>
      <w:r w:rsidRPr="00FC12F3">
        <w:rPr>
          <w:szCs w:val="22"/>
        </w:rPr>
        <w:t>IIIM 5.1.3/03 and 5.1.3/04.</w:t>
      </w:r>
    </w:p>
    <w:p w14:paraId="054298D5" w14:textId="48E357DD" w:rsidR="00F51DFC" w:rsidRPr="00FC12F3" w:rsidRDefault="00F51DFC" w:rsidP="00F51DFC">
      <w:pPr>
        <w:pStyle w:val="Akapitzlist"/>
        <w:widowControl/>
        <w:numPr>
          <w:ilvl w:val="0"/>
          <w:numId w:val="23"/>
        </w:numPr>
        <w:tabs>
          <w:tab w:val="left" w:pos="720"/>
        </w:tabs>
        <w:spacing w:line="280" w:lineRule="exact"/>
        <w:rPr>
          <w:rFonts w:eastAsia="Calibri"/>
          <w:color w:val="000000"/>
          <w:szCs w:val="22"/>
        </w:rPr>
      </w:pPr>
      <w:r w:rsidRPr="00FC12F3">
        <w:rPr>
          <w:rFonts w:eastAsia="Calibri"/>
          <w:color w:val="000000"/>
          <w:szCs w:val="22"/>
        </w:rPr>
        <w:t xml:space="preserve">Bioassay potency tests </w:t>
      </w:r>
      <w:r w:rsidRPr="00FC12F3">
        <w:rPr>
          <w:szCs w:val="22"/>
        </w:rPr>
        <w:t xml:space="preserve">as described </w:t>
      </w:r>
      <w:r w:rsidR="00C14392" w:rsidRPr="00FC12F3">
        <w:rPr>
          <w:szCs w:val="22"/>
        </w:rPr>
        <w:t>in Part C (confidential information) under</w:t>
      </w:r>
      <w:r w:rsidRPr="00FC12F3">
        <w:rPr>
          <w:szCs w:val="22"/>
        </w:rPr>
        <w:t xml:space="preserve"> IIIM </w:t>
      </w:r>
      <w:r w:rsidR="00231D23" w:rsidRPr="00FC12F3">
        <w:rPr>
          <w:szCs w:val="22"/>
        </w:rPr>
        <w:t>1.7.1/02</w:t>
      </w:r>
      <w:r w:rsidR="00840915" w:rsidRPr="00FC12F3">
        <w:rPr>
          <w:szCs w:val="22"/>
        </w:rPr>
        <w:t xml:space="preserve"> and IIIM 1.7.2.3/01</w:t>
      </w:r>
      <w:r w:rsidRPr="00FC12F3">
        <w:rPr>
          <w:szCs w:val="22"/>
        </w:rPr>
        <w:t>.</w:t>
      </w:r>
      <w:bookmarkEnd w:id="19"/>
    </w:p>
    <w:p w14:paraId="66EDDFFE" w14:textId="32D263C3" w:rsidR="00F51DFC" w:rsidRPr="00064659" w:rsidRDefault="00F51DFC" w:rsidP="00F51DFC">
      <w:pPr>
        <w:pStyle w:val="OECD-HeadLine1"/>
      </w:pPr>
      <w:bookmarkStart w:id="23" w:name="_Toc142473975"/>
      <w:r w:rsidRPr="00064659">
        <w:t>IIIM 5.1.4</w:t>
      </w:r>
      <w:r w:rsidRPr="00064659">
        <w:tab/>
      </w:r>
      <w:bookmarkEnd w:id="20"/>
      <w:bookmarkEnd w:id="21"/>
      <w:r w:rsidRPr="00064659">
        <w:t>Methods to identify contaminant microorganism in MPCP</w:t>
      </w:r>
      <w:bookmarkEnd w:id="23"/>
    </w:p>
    <w:p w14:paraId="4EB71174" w14:textId="4C4A070E" w:rsidR="00F51DFC" w:rsidRPr="00292852" w:rsidRDefault="00F51DFC" w:rsidP="00F51DFC">
      <w:pPr>
        <w:spacing w:after="0"/>
        <w:jc w:val="both"/>
        <w:rPr>
          <w:sz w:val="22"/>
          <w:szCs w:val="22"/>
        </w:rPr>
      </w:pPr>
      <w:bookmarkStart w:id="24" w:name="_Toc110674024"/>
      <w:bookmarkStart w:id="25" w:name="_Toc235957056"/>
      <w:r w:rsidRPr="00292852">
        <w:rPr>
          <w:sz w:val="22"/>
          <w:szCs w:val="22"/>
        </w:rPr>
        <w:t xml:space="preserve">Bacterial pathogens may arise due to microbial contamination during the production of the technical material. However, the preparation of </w:t>
      </w:r>
      <w:r w:rsidRPr="00292852">
        <w:rPr>
          <w:i/>
          <w:iCs/>
          <w:sz w:val="22"/>
          <w:szCs w:val="22"/>
        </w:rPr>
        <w:t>Btk</w:t>
      </w:r>
      <w:r w:rsidRPr="00292852">
        <w:rPr>
          <w:sz w:val="22"/>
          <w:szCs w:val="22"/>
        </w:rPr>
        <w:t xml:space="preserve"> (</w:t>
      </w:r>
      <w:r w:rsidR="4705C613" w:rsidRPr="00292852">
        <w:rPr>
          <w:sz w:val="22"/>
          <w:szCs w:val="22"/>
        </w:rPr>
        <w:t>s</w:t>
      </w:r>
      <w:r w:rsidRPr="00292852">
        <w:rPr>
          <w:sz w:val="22"/>
          <w:szCs w:val="22"/>
        </w:rPr>
        <w:t>train ABTS-351) is a pure culture fermentation process carried out under strict aseptic conditions. The integrity of the organism is routinely checked at key stages during manufacture, using standard microscopic and agar plating methods. Post fermentation handling of the organism is not performed under sterile conditions, although equipment is routinely cleaned under GMP control.</w:t>
      </w:r>
    </w:p>
    <w:p w14:paraId="6025647B" w14:textId="77777777" w:rsidR="00F51DFC" w:rsidRPr="00292852" w:rsidRDefault="00F51DFC" w:rsidP="00F51DFC">
      <w:pPr>
        <w:spacing w:after="0"/>
        <w:jc w:val="both"/>
        <w:rPr>
          <w:sz w:val="22"/>
          <w:szCs w:val="22"/>
        </w:rPr>
      </w:pPr>
    </w:p>
    <w:p w14:paraId="158CBE9E" w14:textId="0C394E53" w:rsidR="00F51DFC" w:rsidRPr="00292852" w:rsidRDefault="00F51DFC" w:rsidP="00F51DFC">
      <w:pPr>
        <w:spacing w:after="0"/>
        <w:jc w:val="both"/>
        <w:rPr>
          <w:sz w:val="22"/>
          <w:szCs w:val="22"/>
        </w:rPr>
      </w:pPr>
      <w:bookmarkStart w:id="26" w:name="_Hlk76977616"/>
      <w:r w:rsidRPr="00292852">
        <w:rPr>
          <w:sz w:val="22"/>
          <w:szCs w:val="22"/>
        </w:rPr>
        <w:t>Methods to identify microbial contaminants included in the</w:t>
      </w:r>
      <w:bookmarkStart w:id="27" w:name="_Hlk63345860"/>
      <w:r w:rsidRPr="00292852">
        <w:rPr>
          <w:sz w:val="22"/>
          <w:szCs w:val="22"/>
        </w:rPr>
        <w:t xml:space="preserve"> OECD Issue Paper on Microbial Contaminant Limits for Microbial Pest Control Products (ENV/JM/MONO(2011)43) </w:t>
      </w:r>
      <w:bookmarkEnd w:id="27"/>
      <w:r w:rsidRPr="00292852">
        <w:rPr>
          <w:sz w:val="22"/>
          <w:szCs w:val="22"/>
        </w:rPr>
        <w:t xml:space="preserve">have been provided in Part C IIIM 5.1.3 and Part C IIIM 1.7.2.3. </w:t>
      </w:r>
      <w:bookmarkStart w:id="28" w:name="_Hlk77867496"/>
      <w:r w:rsidRPr="00292852">
        <w:rPr>
          <w:sz w:val="22"/>
          <w:szCs w:val="22"/>
        </w:rPr>
        <w:t>The methods are standard microbiological techniques which can be used to identify the considered microbial contaminants in any microbial pest control product.</w:t>
      </w:r>
      <w:bookmarkEnd w:id="26"/>
      <w:bookmarkEnd w:id="28"/>
      <w:r w:rsidR="008B2A68" w:rsidRPr="00292852">
        <w:rPr>
          <w:sz w:val="22"/>
          <w:szCs w:val="22"/>
        </w:rPr>
        <w:t xml:space="preserve"> However, the </w:t>
      </w:r>
      <w:r w:rsidR="008B2A68" w:rsidRPr="00292852">
        <w:rPr>
          <w:sz w:val="22"/>
          <w:szCs w:val="22"/>
        </w:rPr>
        <w:lastRenderedPageBreak/>
        <w:t>methods below are provided from the storage stability testing to check the bioburden before and after the storage period.</w:t>
      </w:r>
    </w:p>
    <w:p w14:paraId="058F72F4" w14:textId="77777777" w:rsidR="000029D9" w:rsidRPr="00292852" w:rsidRDefault="000029D9" w:rsidP="00F51DFC">
      <w:pPr>
        <w:spacing w:after="0"/>
        <w:jc w:val="both"/>
        <w:rPr>
          <w:sz w:val="22"/>
          <w:szCs w:val="22"/>
        </w:rPr>
      </w:pPr>
    </w:p>
    <w:tbl>
      <w:tblPr>
        <w:tblStyle w:val="TableGrid1"/>
        <w:tblW w:w="9434" w:type="dxa"/>
        <w:tblInd w:w="1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89"/>
        <w:gridCol w:w="7245"/>
      </w:tblGrid>
      <w:tr w:rsidR="009C1054" w:rsidRPr="00292852" w14:paraId="2A220B45" w14:textId="77777777" w:rsidTr="00EE27EB">
        <w:trPr>
          <w:trHeight w:val="165"/>
        </w:trPr>
        <w:tc>
          <w:tcPr>
            <w:tcW w:w="2189" w:type="dxa"/>
            <w:tcMar>
              <w:left w:w="105" w:type="dxa"/>
              <w:right w:w="105" w:type="dxa"/>
            </w:tcMar>
          </w:tcPr>
          <w:p w14:paraId="4DCB22C4" w14:textId="0CE7545E"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Data point addressed</w:t>
            </w:r>
          </w:p>
        </w:tc>
        <w:tc>
          <w:tcPr>
            <w:tcW w:w="7245" w:type="dxa"/>
            <w:tcMar>
              <w:left w:w="105" w:type="dxa"/>
              <w:right w:w="105" w:type="dxa"/>
            </w:tcMar>
          </w:tcPr>
          <w:p w14:paraId="05019E49"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IIIM 5.1.4/01</w:t>
            </w:r>
          </w:p>
        </w:tc>
      </w:tr>
      <w:tr w:rsidR="009C1054" w:rsidRPr="00292852" w14:paraId="29E4F92E" w14:textId="77777777" w:rsidTr="00EE27EB">
        <w:trPr>
          <w:trHeight w:val="165"/>
        </w:trPr>
        <w:tc>
          <w:tcPr>
            <w:tcW w:w="2189" w:type="dxa"/>
            <w:tcMar>
              <w:left w:w="105" w:type="dxa"/>
              <w:right w:w="105" w:type="dxa"/>
            </w:tcMar>
          </w:tcPr>
          <w:p w14:paraId="77172B1B"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Author(s) (year)</w:t>
            </w:r>
          </w:p>
        </w:tc>
        <w:tc>
          <w:tcPr>
            <w:tcW w:w="7245" w:type="dxa"/>
            <w:tcMar>
              <w:left w:w="105" w:type="dxa"/>
              <w:right w:w="105" w:type="dxa"/>
            </w:tcMar>
          </w:tcPr>
          <w:p w14:paraId="4EDDB13B" w14:textId="4BB04E0E"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Comb, A.L. (20</w:t>
            </w:r>
            <w:r w:rsidR="002C34FE" w:rsidRPr="00292852">
              <w:rPr>
                <w:color w:val="000000" w:themeColor="text1"/>
                <w:sz w:val="22"/>
                <w:szCs w:val="22"/>
              </w:rPr>
              <w:t>12</w:t>
            </w:r>
            <w:r w:rsidRPr="00292852">
              <w:rPr>
                <w:color w:val="000000" w:themeColor="text1"/>
                <w:sz w:val="22"/>
                <w:szCs w:val="22"/>
              </w:rPr>
              <w:t>)</w:t>
            </w:r>
          </w:p>
        </w:tc>
      </w:tr>
      <w:tr w:rsidR="009C1054" w:rsidRPr="00292852" w14:paraId="09B9952F" w14:textId="77777777" w:rsidTr="00EE27EB">
        <w:trPr>
          <w:trHeight w:val="165"/>
        </w:trPr>
        <w:tc>
          <w:tcPr>
            <w:tcW w:w="2189" w:type="dxa"/>
            <w:tcMar>
              <w:left w:w="105" w:type="dxa"/>
              <w:right w:w="105" w:type="dxa"/>
            </w:tcMar>
          </w:tcPr>
          <w:p w14:paraId="50381DE5"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Title</w:t>
            </w:r>
          </w:p>
        </w:tc>
        <w:tc>
          <w:tcPr>
            <w:tcW w:w="7245" w:type="dxa"/>
            <w:tcMar>
              <w:left w:w="105" w:type="dxa"/>
              <w:right w:w="105" w:type="dxa"/>
            </w:tcMar>
          </w:tcPr>
          <w:p w14:paraId="13DFBF46" w14:textId="68D6C871" w:rsidR="009C1054" w:rsidRPr="00292852" w:rsidRDefault="002F48BF" w:rsidP="00B747F3">
            <w:pPr>
              <w:spacing w:after="0" w:line="280" w:lineRule="exact"/>
              <w:rPr>
                <w:color w:val="000000" w:themeColor="text1"/>
                <w:sz w:val="22"/>
                <w:szCs w:val="22"/>
              </w:rPr>
            </w:pPr>
            <w:r w:rsidRPr="00292852">
              <w:rPr>
                <w:color w:val="000000" w:themeColor="text1"/>
                <w:sz w:val="22"/>
                <w:szCs w:val="22"/>
              </w:rPr>
              <w:t>ABG-6431 Storage stability</w:t>
            </w:r>
          </w:p>
        </w:tc>
      </w:tr>
      <w:tr w:rsidR="009C1054" w:rsidRPr="00292852" w14:paraId="02A3B295" w14:textId="77777777" w:rsidTr="00EE27EB">
        <w:trPr>
          <w:trHeight w:val="165"/>
        </w:trPr>
        <w:tc>
          <w:tcPr>
            <w:tcW w:w="2189" w:type="dxa"/>
            <w:tcMar>
              <w:left w:w="105" w:type="dxa"/>
              <w:right w:w="105" w:type="dxa"/>
            </w:tcMar>
          </w:tcPr>
          <w:p w14:paraId="2F9CDAC2" w14:textId="219C4D54"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Report number</w:t>
            </w:r>
          </w:p>
        </w:tc>
        <w:tc>
          <w:tcPr>
            <w:tcW w:w="7245" w:type="dxa"/>
            <w:tcMar>
              <w:left w:w="105" w:type="dxa"/>
              <w:right w:w="105" w:type="dxa"/>
            </w:tcMar>
          </w:tcPr>
          <w:p w14:paraId="2F80FE2C" w14:textId="256050E1" w:rsidR="009C1054" w:rsidRPr="00292852" w:rsidRDefault="002F48BF" w:rsidP="00B747F3">
            <w:pPr>
              <w:spacing w:after="0" w:line="280" w:lineRule="exact"/>
              <w:rPr>
                <w:color w:val="000000" w:themeColor="text1"/>
                <w:sz w:val="22"/>
                <w:szCs w:val="22"/>
              </w:rPr>
            </w:pPr>
            <w:r w:rsidRPr="00292852">
              <w:rPr>
                <w:color w:val="000000" w:themeColor="text1"/>
                <w:sz w:val="22"/>
                <w:szCs w:val="22"/>
              </w:rPr>
              <w:t>ZAB0150</w:t>
            </w:r>
          </w:p>
        </w:tc>
      </w:tr>
      <w:tr w:rsidR="009C1054" w:rsidRPr="00292852" w14:paraId="4B07D388" w14:textId="77777777" w:rsidTr="00EE27EB">
        <w:trPr>
          <w:trHeight w:val="165"/>
        </w:trPr>
        <w:tc>
          <w:tcPr>
            <w:tcW w:w="2189" w:type="dxa"/>
            <w:tcMar>
              <w:left w:w="105" w:type="dxa"/>
              <w:right w:w="105" w:type="dxa"/>
            </w:tcMar>
          </w:tcPr>
          <w:p w14:paraId="5D06B460" w14:textId="044F4551"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Test facility</w:t>
            </w:r>
          </w:p>
        </w:tc>
        <w:tc>
          <w:tcPr>
            <w:tcW w:w="7245" w:type="dxa"/>
            <w:tcMar>
              <w:left w:w="105" w:type="dxa"/>
              <w:right w:w="105" w:type="dxa"/>
            </w:tcMar>
          </w:tcPr>
          <w:p w14:paraId="6542B432"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Huntingdon Life Sciences Ltd.</w:t>
            </w:r>
          </w:p>
        </w:tc>
      </w:tr>
      <w:tr w:rsidR="009C1054" w:rsidRPr="00292852" w14:paraId="64A20F49" w14:textId="77777777" w:rsidTr="00EE27EB">
        <w:trPr>
          <w:trHeight w:val="165"/>
        </w:trPr>
        <w:tc>
          <w:tcPr>
            <w:tcW w:w="2189" w:type="dxa"/>
            <w:tcMar>
              <w:left w:w="105" w:type="dxa"/>
              <w:right w:w="105" w:type="dxa"/>
            </w:tcMar>
          </w:tcPr>
          <w:p w14:paraId="064ADB6E"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Published</w:t>
            </w:r>
          </w:p>
        </w:tc>
        <w:tc>
          <w:tcPr>
            <w:tcW w:w="7245" w:type="dxa"/>
            <w:tcMar>
              <w:left w:w="105" w:type="dxa"/>
              <w:right w:w="105" w:type="dxa"/>
            </w:tcMar>
          </w:tcPr>
          <w:p w14:paraId="00D0C855"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No</w:t>
            </w:r>
          </w:p>
        </w:tc>
      </w:tr>
      <w:tr w:rsidR="009C1054" w:rsidRPr="00292852" w14:paraId="3A05B10E" w14:textId="77777777" w:rsidTr="00EE27EB">
        <w:trPr>
          <w:trHeight w:val="165"/>
        </w:trPr>
        <w:tc>
          <w:tcPr>
            <w:tcW w:w="2189" w:type="dxa"/>
            <w:tcMar>
              <w:left w:w="105" w:type="dxa"/>
              <w:right w:w="105" w:type="dxa"/>
            </w:tcMar>
          </w:tcPr>
          <w:p w14:paraId="38315C61" w14:textId="7022F7EF"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Test guideline</w:t>
            </w:r>
          </w:p>
        </w:tc>
        <w:tc>
          <w:tcPr>
            <w:tcW w:w="7245" w:type="dxa"/>
            <w:tcMar>
              <w:left w:w="105" w:type="dxa"/>
              <w:right w:w="105" w:type="dxa"/>
            </w:tcMar>
          </w:tcPr>
          <w:p w14:paraId="58B1DA04"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OPPTS 830.6317, OPPTS 830.6320</w:t>
            </w:r>
          </w:p>
        </w:tc>
      </w:tr>
      <w:tr w:rsidR="009C1054" w:rsidRPr="00292852" w14:paraId="280A3DE7" w14:textId="77777777" w:rsidTr="00EE27EB">
        <w:trPr>
          <w:trHeight w:val="165"/>
        </w:trPr>
        <w:tc>
          <w:tcPr>
            <w:tcW w:w="2189" w:type="dxa"/>
            <w:tcMar>
              <w:left w:w="105" w:type="dxa"/>
              <w:right w:w="105" w:type="dxa"/>
            </w:tcMar>
          </w:tcPr>
          <w:p w14:paraId="07664B9E"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Deviations</w:t>
            </w:r>
          </w:p>
        </w:tc>
        <w:tc>
          <w:tcPr>
            <w:tcW w:w="7245" w:type="dxa"/>
            <w:tcMar>
              <w:left w:w="105" w:type="dxa"/>
              <w:right w:w="105" w:type="dxa"/>
            </w:tcMar>
          </w:tcPr>
          <w:p w14:paraId="7A6FA497"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No</w:t>
            </w:r>
          </w:p>
        </w:tc>
      </w:tr>
      <w:tr w:rsidR="009C1054" w:rsidRPr="00292852" w14:paraId="7AA45EB5" w14:textId="77777777" w:rsidTr="00EE27EB">
        <w:trPr>
          <w:trHeight w:val="165"/>
        </w:trPr>
        <w:tc>
          <w:tcPr>
            <w:tcW w:w="2189" w:type="dxa"/>
            <w:tcMar>
              <w:left w:w="105" w:type="dxa"/>
              <w:right w:w="105" w:type="dxa"/>
            </w:tcMar>
          </w:tcPr>
          <w:p w14:paraId="2BF582F0"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GLP</w:t>
            </w:r>
          </w:p>
        </w:tc>
        <w:tc>
          <w:tcPr>
            <w:tcW w:w="7245" w:type="dxa"/>
            <w:tcMar>
              <w:left w:w="105" w:type="dxa"/>
              <w:right w:w="105" w:type="dxa"/>
            </w:tcMar>
          </w:tcPr>
          <w:p w14:paraId="04ACF7A0" w14:textId="77777777" w:rsidR="009C1054" w:rsidRPr="00292852" w:rsidRDefault="009C1054" w:rsidP="00B747F3">
            <w:pPr>
              <w:spacing w:after="0" w:line="280" w:lineRule="exact"/>
              <w:rPr>
                <w:color w:val="000000" w:themeColor="text1"/>
                <w:sz w:val="22"/>
                <w:szCs w:val="22"/>
              </w:rPr>
            </w:pPr>
            <w:r w:rsidRPr="00292852">
              <w:rPr>
                <w:color w:val="000000" w:themeColor="text1"/>
                <w:sz w:val="22"/>
                <w:szCs w:val="22"/>
              </w:rPr>
              <w:t>Yes</w:t>
            </w:r>
          </w:p>
        </w:tc>
      </w:tr>
    </w:tbl>
    <w:p w14:paraId="0ED23EB1" w14:textId="77777777" w:rsidR="009C1054" w:rsidRPr="00292852" w:rsidRDefault="009C1054" w:rsidP="009C1054">
      <w:pPr>
        <w:spacing w:after="0"/>
        <w:jc w:val="both"/>
        <w:rPr>
          <w:sz w:val="22"/>
          <w:szCs w:val="22"/>
        </w:rPr>
      </w:pPr>
    </w:p>
    <w:p w14:paraId="32BBC65F" w14:textId="77777777" w:rsidR="009C1054" w:rsidRPr="00292852" w:rsidRDefault="009C1054" w:rsidP="009C1054">
      <w:pPr>
        <w:spacing w:before="120" w:after="0"/>
        <w:jc w:val="both"/>
        <w:rPr>
          <w:b/>
          <w:bCs/>
          <w:color w:val="000000" w:themeColor="text1"/>
          <w:sz w:val="22"/>
          <w:szCs w:val="22"/>
        </w:rPr>
      </w:pPr>
      <w:r w:rsidRPr="00292852">
        <w:rPr>
          <w:b/>
          <w:bCs/>
          <w:color w:val="000000" w:themeColor="text1"/>
          <w:sz w:val="22"/>
          <w:szCs w:val="22"/>
        </w:rPr>
        <w:t>Materials and Methods:</w:t>
      </w:r>
    </w:p>
    <w:p w14:paraId="68B5FB95" w14:textId="77777777" w:rsidR="009C1054" w:rsidRPr="00292852" w:rsidRDefault="009C1054" w:rsidP="009C1054">
      <w:pPr>
        <w:spacing w:before="120" w:after="0"/>
        <w:jc w:val="both"/>
        <w:rPr>
          <w:color w:val="000000" w:themeColor="text1"/>
          <w:sz w:val="22"/>
          <w:szCs w:val="22"/>
        </w:rPr>
      </w:pPr>
    </w:p>
    <w:p w14:paraId="28817180" w14:textId="77777777" w:rsidR="009C1054" w:rsidRPr="00292852" w:rsidRDefault="009C1054" w:rsidP="009C1054">
      <w:pPr>
        <w:spacing w:after="0"/>
        <w:jc w:val="both"/>
        <w:rPr>
          <w:b/>
          <w:bCs/>
          <w:color w:val="000000" w:themeColor="text1"/>
          <w:sz w:val="22"/>
          <w:szCs w:val="22"/>
        </w:rPr>
      </w:pPr>
      <w:r w:rsidRPr="00292852">
        <w:rPr>
          <w:b/>
          <w:bCs/>
          <w:color w:val="000000" w:themeColor="text1"/>
          <w:sz w:val="22"/>
          <w:szCs w:val="22"/>
        </w:rPr>
        <w:t>Examination for contaminating microorganisms</w:t>
      </w:r>
    </w:p>
    <w:p w14:paraId="08EC0456" w14:textId="77777777" w:rsidR="009C1054" w:rsidRPr="00292852" w:rsidRDefault="009C1054" w:rsidP="009C1054">
      <w:pPr>
        <w:spacing w:after="0"/>
        <w:jc w:val="both"/>
        <w:rPr>
          <w:color w:val="000000" w:themeColor="text1"/>
          <w:sz w:val="22"/>
          <w:szCs w:val="22"/>
        </w:rPr>
      </w:pPr>
    </w:p>
    <w:p w14:paraId="616EF9A2" w14:textId="4337E718" w:rsidR="009C1054" w:rsidRPr="00292852" w:rsidRDefault="009C1054" w:rsidP="009C1054">
      <w:pPr>
        <w:spacing w:after="0"/>
        <w:jc w:val="both"/>
        <w:rPr>
          <w:color w:val="000000" w:themeColor="text1"/>
          <w:sz w:val="22"/>
          <w:szCs w:val="22"/>
        </w:rPr>
      </w:pPr>
      <w:r w:rsidRPr="00292852">
        <w:rPr>
          <w:color w:val="000000" w:themeColor="text1"/>
          <w:sz w:val="22"/>
          <w:szCs w:val="22"/>
        </w:rPr>
        <w:t>A portion (10 g) of the test substance was mixed with 90 mL of Buffered Peptone Water (BPW - Oxoid CM509).</w:t>
      </w:r>
    </w:p>
    <w:p w14:paraId="796BA400" w14:textId="77777777" w:rsidR="009C1054" w:rsidRPr="00292852" w:rsidRDefault="009C1054" w:rsidP="009C1054">
      <w:pPr>
        <w:spacing w:after="0"/>
        <w:jc w:val="both"/>
        <w:rPr>
          <w:color w:val="000000" w:themeColor="text1"/>
          <w:sz w:val="22"/>
          <w:szCs w:val="22"/>
        </w:rPr>
      </w:pPr>
    </w:p>
    <w:p w14:paraId="317F8046" w14:textId="5234B510" w:rsidR="009C1054" w:rsidRPr="00292852" w:rsidRDefault="009C1054" w:rsidP="00562E40">
      <w:pPr>
        <w:spacing w:after="0"/>
        <w:jc w:val="both"/>
        <w:rPr>
          <w:color w:val="000000" w:themeColor="text1"/>
          <w:sz w:val="22"/>
          <w:szCs w:val="22"/>
        </w:rPr>
      </w:pPr>
      <w:r w:rsidRPr="00292852">
        <w:rPr>
          <w:color w:val="000000" w:themeColor="text1"/>
          <w:sz w:val="22"/>
          <w:szCs w:val="22"/>
        </w:rPr>
        <w:t xml:space="preserve">For the determination of bacterial contamination, an aliquot (1 mL) of the BPW test substance broth was </w:t>
      </w:r>
      <w:r w:rsidR="006D680B" w:rsidRPr="00292852">
        <w:rPr>
          <w:color w:val="000000" w:themeColor="text1"/>
          <w:sz w:val="22"/>
          <w:szCs w:val="22"/>
        </w:rPr>
        <w:t xml:space="preserve">placed into empty </w:t>
      </w:r>
      <w:r w:rsidRPr="00292852">
        <w:rPr>
          <w:color w:val="000000" w:themeColor="text1"/>
          <w:sz w:val="22"/>
          <w:szCs w:val="22"/>
        </w:rPr>
        <w:t xml:space="preserve">duplicate sterile Petri dishes </w:t>
      </w:r>
      <w:r w:rsidR="00C46B19" w:rsidRPr="00292852">
        <w:rPr>
          <w:color w:val="000000" w:themeColor="text1"/>
          <w:sz w:val="22"/>
          <w:szCs w:val="22"/>
        </w:rPr>
        <w:t>and pour plates prepared by adding molten</w:t>
      </w:r>
      <w:r w:rsidR="00562E40" w:rsidRPr="00292852">
        <w:rPr>
          <w:color w:val="000000" w:themeColor="text1"/>
          <w:sz w:val="22"/>
          <w:szCs w:val="22"/>
        </w:rPr>
        <w:t xml:space="preserve"> </w:t>
      </w:r>
      <w:r w:rsidRPr="00292852">
        <w:rPr>
          <w:color w:val="000000" w:themeColor="text1"/>
          <w:sz w:val="22"/>
          <w:szCs w:val="22"/>
        </w:rPr>
        <w:t xml:space="preserve">Tryptone Soya Agar (TSA - Oxoid CM 131). </w:t>
      </w:r>
      <w:r w:rsidR="00562E40" w:rsidRPr="00292852">
        <w:rPr>
          <w:color w:val="000000" w:themeColor="text1"/>
          <w:sz w:val="22"/>
          <w:szCs w:val="22"/>
        </w:rPr>
        <w:t>The plates were incubated at 30 to 35°C for up to 5 days and then the numbers of colonies of the test organism present were recorded. In addition, the count plates were examined for the presence of contaminating bacteria amongst the colonies of test organism and the number of colonies of contaminating bacteria were recorded</w:t>
      </w:r>
      <w:r w:rsidRPr="00292852">
        <w:rPr>
          <w:color w:val="000000" w:themeColor="text1"/>
          <w:sz w:val="22"/>
          <w:szCs w:val="22"/>
        </w:rPr>
        <w:t>.</w:t>
      </w:r>
    </w:p>
    <w:p w14:paraId="0368C30B" w14:textId="77777777" w:rsidR="009C1054" w:rsidRPr="00292852" w:rsidRDefault="009C1054" w:rsidP="009C1054">
      <w:pPr>
        <w:spacing w:after="0"/>
        <w:jc w:val="both"/>
        <w:rPr>
          <w:color w:val="000000" w:themeColor="text1"/>
          <w:sz w:val="22"/>
          <w:szCs w:val="22"/>
        </w:rPr>
      </w:pPr>
    </w:p>
    <w:p w14:paraId="3C25C468" w14:textId="531A6065" w:rsidR="00802D2B" w:rsidRPr="00292852" w:rsidRDefault="00986EC7" w:rsidP="00986EC7">
      <w:pPr>
        <w:spacing w:after="0"/>
        <w:jc w:val="both"/>
        <w:rPr>
          <w:color w:val="000000" w:themeColor="text1"/>
          <w:sz w:val="22"/>
          <w:szCs w:val="22"/>
        </w:rPr>
      </w:pPr>
      <w:r w:rsidRPr="00292852">
        <w:rPr>
          <w:color w:val="000000" w:themeColor="text1"/>
          <w:sz w:val="22"/>
          <w:szCs w:val="22"/>
        </w:rPr>
        <w:t>For the determination of fungal contamination, plate counts were prepared as described above  except using Rose Bengal Chloramphenicol Agar (Merck - 1.00467.0500) and incubated at 20 to 25°C for up to 5 days. The numbers of colonies of contaminating fungi present were then recorded.</w:t>
      </w:r>
    </w:p>
    <w:p w14:paraId="1BE6E334" w14:textId="77777777" w:rsidR="00802D2B" w:rsidRPr="00292852" w:rsidRDefault="00802D2B" w:rsidP="009C1054">
      <w:pPr>
        <w:spacing w:after="0"/>
        <w:jc w:val="both"/>
        <w:rPr>
          <w:color w:val="000000" w:themeColor="text1"/>
          <w:sz w:val="22"/>
          <w:szCs w:val="22"/>
        </w:rPr>
      </w:pPr>
    </w:p>
    <w:p w14:paraId="74885C3B" w14:textId="3225C21C" w:rsidR="00986EC7" w:rsidRPr="00292852" w:rsidRDefault="00986EC7" w:rsidP="00986EC7">
      <w:pPr>
        <w:spacing w:after="0"/>
        <w:jc w:val="both"/>
        <w:rPr>
          <w:color w:val="000000" w:themeColor="text1"/>
          <w:sz w:val="22"/>
          <w:szCs w:val="22"/>
        </w:rPr>
      </w:pPr>
      <w:r w:rsidRPr="00292852">
        <w:rPr>
          <w:color w:val="000000" w:themeColor="text1"/>
          <w:sz w:val="22"/>
          <w:szCs w:val="22"/>
        </w:rPr>
        <w:t>For the determination of the test substance spore count, the BPW test substance broth was diluted in PS and then 1 mL pour plates were prepared in duplicate using TSA as described above. The plates were incubated at 30 to 35°C for up to 5 days and then the numbers of colonies of the test organism were counted and the spore count of the test substance was calculated.</w:t>
      </w:r>
    </w:p>
    <w:p w14:paraId="1D05AB67" w14:textId="77777777" w:rsidR="009C1054" w:rsidRPr="00292852" w:rsidRDefault="009C1054" w:rsidP="009C1054">
      <w:pPr>
        <w:spacing w:after="0"/>
        <w:rPr>
          <w:color w:val="000000" w:themeColor="text1"/>
          <w:sz w:val="22"/>
          <w:szCs w:val="22"/>
        </w:rPr>
      </w:pPr>
    </w:p>
    <w:p w14:paraId="7D8D5B37" w14:textId="77777777" w:rsidR="009C1054" w:rsidRPr="00292852" w:rsidRDefault="009C1054" w:rsidP="009C1054">
      <w:pPr>
        <w:spacing w:after="0"/>
        <w:jc w:val="both"/>
        <w:rPr>
          <w:b/>
          <w:bCs/>
          <w:color w:val="000000" w:themeColor="text1"/>
          <w:sz w:val="22"/>
          <w:szCs w:val="22"/>
        </w:rPr>
      </w:pPr>
      <w:r w:rsidRPr="00292852">
        <w:rPr>
          <w:b/>
          <w:bCs/>
          <w:color w:val="000000" w:themeColor="text1"/>
          <w:sz w:val="22"/>
          <w:szCs w:val="22"/>
        </w:rPr>
        <w:t>Absence of pathogens test</w:t>
      </w:r>
    </w:p>
    <w:p w14:paraId="32F15427" w14:textId="77777777" w:rsidR="009C1054" w:rsidRPr="00292852" w:rsidRDefault="009C1054" w:rsidP="009C1054">
      <w:pPr>
        <w:spacing w:after="0"/>
        <w:jc w:val="both"/>
        <w:rPr>
          <w:color w:val="000000" w:themeColor="text1"/>
          <w:sz w:val="22"/>
          <w:szCs w:val="22"/>
        </w:rPr>
      </w:pPr>
    </w:p>
    <w:p w14:paraId="6F3629B7" w14:textId="77777777" w:rsidR="009C1054" w:rsidRPr="00292852" w:rsidRDefault="009C1054" w:rsidP="009C1054">
      <w:pPr>
        <w:spacing w:after="0"/>
        <w:jc w:val="both"/>
        <w:rPr>
          <w:color w:val="000000" w:themeColor="text1"/>
          <w:sz w:val="22"/>
          <w:szCs w:val="22"/>
        </w:rPr>
      </w:pPr>
      <w:r w:rsidRPr="00292852">
        <w:rPr>
          <w:color w:val="000000" w:themeColor="text1"/>
          <w:sz w:val="22"/>
          <w:szCs w:val="22"/>
        </w:rPr>
        <w:t>A portion (10 g) of each lot of the test substance was mixed with 90 mL of Lactose Broth (LB – Oxoid CM137) and 90 mL of Tryptone Soya Broth (TSB - Oxoid CM129). The broths were then pre-incubated at 30 to 35°C for approximately 24 hours for LB and for approximately 48 hours for TSB. Each container was then shaken, and the quantity of pre-incubated test substance transferred as appropriate for the following tests:</w:t>
      </w:r>
    </w:p>
    <w:p w14:paraId="0BEB519D" w14:textId="77777777" w:rsidR="009C1054" w:rsidRPr="00292852" w:rsidRDefault="009C1054" w:rsidP="009C1054">
      <w:pPr>
        <w:spacing w:after="0"/>
        <w:jc w:val="both"/>
        <w:rPr>
          <w:color w:val="000000" w:themeColor="text1"/>
          <w:sz w:val="22"/>
          <w:szCs w:val="22"/>
        </w:rPr>
      </w:pPr>
    </w:p>
    <w:p w14:paraId="5DA69886" w14:textId="77777777" w:rsidR="009C1054" w:rsidRPr="00292852" w:rsidRDefault="009C1054" w:rsidP="009C1054">
      <w:pPr>
        <w:spacing w:after="0"/>
        <w:jc w:val="both"/>
        <w:rPr>
          <w:color w:val="000000" w:themeColor="text1"/>
          <w:sz w:val="22"/>
          <w:szCs w:val="22"/>
        </w:rPr>
      </w:pPr>
    </w:p>
    <w:p w14:paraId="5B363820" w14:textId="77777777" w:rsidR="009C1054" w:rsidRPr="00292852" w:rsidRDefault="009C1054" w:rsidP="009C1054">
      <w:pPr>
        <w:spacing w:after="0"/>
        <w:jc w:val="both"/>
        <w:rPr>
          <w:b/>
          <w:bCs/>
          <w:i/>
          <w:iCs/>
          <w:color w:val="000000" w:themeColor="text1"/>
          <w:sz w:val="22"/>
          <w:szCs w:val="22"/>
        </w:rPr>
      </w:pPr>
      <w:r w:rsidRPr="00292852">
        <w:rPr>
          <w:b/>
          <w:bCs/>
          <w:i/>
          <w:iCs/>
          <w:color w:val="000000" w:themeColor="text1"/>
          <w:sz w:val="22"/>
          <w:szCs w:val="22"/>
        </w:rPr>
        <w:t>Escherichia coli</w:t>
      </w:r>
    </w:p>
    <w:p w14:paraId="4A140F99" w14:textId="77777777" w:rsidR="009C1054" w:rsidRPr="00292852" w:rsidRDefault="009C1054" w:rsidP="009C1054">
      <w:pPr>
        <w:spacing w:after="0"/>
        <w:jc w:val="both"/>
        <w:rPr>
          <w:b/>
          <w:bCs/>
          <w:color w:val="000000" w:themeColor="text1"/>
          <w:sz w:val="22"/>
          <w:szCs w:val="22"/>
        </w:rPr>
      </w:pPr>
    </w:p>
    <w:p w14:paraId="7EA7309A" w14:textId="7093208C" w:rsidR="009C1054" w:rsidRPr="00292852" w:rsidRDefault="009C1054" w:rsidP="009C1054">
      <w:pPr>
        <w:spacing w:after="0"/>
        <w:jc w:val="both"/>
        <w:rPr>
          <w:color w:val="000000" w:themeColor="text1"/>
          <w:sz w:val="22"/>
          <w:szCs w:val="22"/>
        </w:rPr>
      </w:pPr>
      <w:r w:rsidRPr="00292852">
        <w:rPr>
          <w:color w:val="000000" w:themeColor="text1"/>
          <w:sz w:val="22"/>
          <w:szCs w:val="22"/>
        </w:rPr>
        <w:t>Separate portions (90 mL) of Enterobacteria Enrichment Broth (EEB - Oxoid CM317) were inoculated with the appropriate pre-incubated LB test substance broth (10 mL) and incubated at 30 to 35°C for approximately 24 hours. The samples were sub</w:t>
      </w:r>
      <w:r w:rsidR="002C3E22">
        <w:rPr>
          <w:color w:val="000000" w:themeColor="text1"/>
          <w:sz w:val="22"/>
          <w:szCs w:val="22"/>
        </w:rPr>
        <w:t>-</w:t>
      </w:r>
      <w:r w:rsidRPr="00292852">
        <w:rPr>
          <w:color w:val="000000" w:themeColor="text1"/>
          <w:sz w:val="22"/>
          <w:szCs w:val="22"/>
        </w:rPr>
        <w:t>cultured onto MacConkey Agar (</w:t>
      </w:r>
      <w:r w:rsidR="00A86740" w:rsidRPr="00292852">
        <w:rPr>
          <w:color w:val="000000" w:themeColor="text1"/>
          <w:sz w:val="22"/>
          <w:szCs w:val="22"/>
        </w:rPr>
        <w:t>Oxoid - CM0113</w:t>
      </w:r>
      <w:r w:rsidRPr="00292852">
        <w:rPr>
          <w:color w:val="000000" w:themeColor="text1"/>
          <w:sz w:val="22"/>
          <w:szCs w:val="22"/>
        </w:rPr>
        <w:t>) and incubated at 30 to 35°C for at least 48 hours.</w:t>
      </w:r>
    </w:p>
    <w:p w14:paraId="6F0083D8" w14:textId="77777777" w:rsidR="009C1054" w:rsidRPr="00292852" w:rsidRDefault="009C1054" w:rsidP="009C1054">
      <w:pPr>
        <w:spacing w:after="0"/>
        <w:jc w:val="both"/>
        <w:rPr>
          <w:color w:val="000000" w:themeColor="text1"/>
          <w:sz w:val="22"/>
          <w:szCs w:val="22"/>
        </w:rPr>
      </w:pPr>
    </w:p>
    <w:p w14:paraId="01CEF813" w14:textId="77777777" w:rsidR="009C1054" w:rsidRPr="00292852" w:rsidRDefault="009C1054" w:rsidP="009C1054">
      <w:pPr>
        <w:spacing w:after="0"/>
        <w:jc w:val="both"/>
        <w:rPr>
          <w:b/>
          <w:bCs/>
          <w:i/>
          <w:iCs/>
          <w:color w:val="000000" w:themeColor="text1"/>
          <w:sz w:val="22"/>
          <w:szCs w:val="22"/>
        </w:rPr>
      </w:pPr>
      <w:r w:rsidRPr="00292852">
        <w:rPr>
          <w:b/>
          <w:bCs/>
          <w:i/>
          <w:iCs/>
          <w:color w:val="000000" w:themeColor="text1"/>
          <w:sz w:val="22"/>
          <w:szCs w:val="22"/>
        </w:rPr>
        <w:lastRenderedPageBreak/>
        <w:t>Salmonella</w:t>
      </w:r>
    </w:p>
    <w:p w14:paraId="7C0F9517" w14:textId="77777777" w:rsidR="009C1054" w:rsidRPr="00292852" w:rsidRDefault="009C1054" w:rsidP="009C1054">
      <w:pPr>
        <w:spacing w:after="0"/>
        <w:jc w:val="both"/>
        <w:rPr>
          <w:b/>
          <w:bCs/>
          <w:color w:val="000000" w:themeColor="text1"/>
          <w:sz w:val="22"/>
          <w:szCs w:val="22"/>
        </w:rPr>
      </w:pPr>
    </w:p>
    <w:p w14:paraId="7CD7894B" w14:textId="57548F86" w:rsidR="009C1054" w:rsidRPr="00292852" w:rsidRDefault="009C1054" w:rsidP="009C1054">
      <w:pPr>
        <w:spacing w:after="0"/>
        <w:jc w:val="both"/>
        <w:rPr>
          <w:color w:val="000000" w:themeColor="text1"/>
          <w:sz w:val="22"/>
          <w:szCs w:val="22"/>
        </w:rPr>
      </w:pPr>
      <w:r w:rsidRPr="00292852">
        <w:rPr>
          <w:color w:val="000000" w:themeColor="text1"/>
          <w:sz w:val="22"/>
          <w:szCs w:val="22"/>
        </w:rPr>
        <w:t>A portion (10 mL) of the appropriate pre-incubated LB test substance broth was mixed with 90 mL of Tetrathionate Broth (TB - Oxoid CM671) and incubated at 30 to 35°C for approximately 24 hours. The samples was sub</w:t>
      </w:r>
      <w:r w:rsidR="002C3E22">
        <w:rPr>
          <w:color w:val="000000" w:themeColor="text1"/>
          <w:sz w:val="22"/>
          <w:szCs w:val="22"/>
        </w:rPr>
        <w:t>-</w:t>
      </w:r>
      <w:r w:rsidRPr="00292852">
        <w:rPr>
          <w:color w:val="000000" w:themeColor="text1"/>
          <w:sz w:val="22"/>
          <w:szCs w:val="22"/>
        </w:rPr>
        <w:t>cultured onto Xylose Lysine Desoxycholate Agar (XLD - Oxoid CM469) and Brilliant Green Agar (BGA - Oxoid CM329) and incubated at 30 to 35°C for at least 48 hours.</w:t>
      </w:r>
    </w:p>
    <w:p w14:paraId="73BAEF6A" w14:textId="77777777" w:rsidR="009C1054" w:rsidRPr="00292852" w:rsidRDefault="009C1054" w:rsidP="009C1054">
      <w:pPr>
        <w:spacing w:after="0"/>
        <w:jc w:val="both"/>
        <w:rPr>
          <w:color w:val="000000" w:themeColor="text1"/>
          <w:sz w:val="22"/>
          <w:szCs w:val="22"/>
        </w:rPr>
      </w:pPr>
    </w:p>
    <w:p w14:paraId="657FA85F" w14:textId="77777777" w:rsidR="009C1054" w:rsidRPr="00292852" w:rsidRDefault="009C1054" w:rsidP="009C1054">
      <w:pPr>
        <w:spacing w:after="0"/>
        <w:jc w:val="both"/>
        <w:rPr>
          <w:b/>
          <w:bCs/>
          <w:i/>
          <w:iCs/>
          <w:color w:val="000000" w:themeColor="text1"/>
          <w:sz w:val="22"/>
          <w:szCs w:val="22"/>
        </w:rPr>
      </w:pPr>
      <w:r w:rsidRPr="00292852">
        <w:rPr>
          <w:b/>
          <w:bCs/>
          <w:i/>
          <w:iCs/>
          <w:color w:val="000000" w:themeColor="text1"/>
          <w:sz w:val="22"/>
          <w:szCs w:val="22"/>
        </w:rPr>
        <w:t>Pseudomonas aeruginosa</w:t>
      </w:r>
    </w:p>
    <w:p w14:paraId="6D6B2FE2" w14:textId="77777777" w:rsidR="009C1054" w:rsidRPr="00292852" w:rsidRDefault="009C1054" w:rsidP="009C1054">
      <w:pPr>
        <w:spacing w:after="0"/>
        <w:jc w:val="both"/>
        <w:rPr>
          <w:b/>
          <w:bCs/>
          <w:color w:val="000000" w:themeColor="text1"/>
          <w:sz w:val="22"/>
          <w:szCs w:val="22"/>
        </w:rPr>
      </w:pPr>
    </w:p>
    <w:p w14:paraId="4418D61B" w14:textId="77777777" w:rsidR="009C1054" w:rsidRPr="00292852" w:rsidRDefault="009C1054" w:rsidP="009C1054">
      <w:pPr>
        <w:spacing w:after="0"/>
        <w:jc w:val="both"/>
        <w:rPr>
          <w:color w:val="000000" w:themeColor="text1"/>
          <w:sz w:val="22"/>
          <w:szCs w:val="22"/>
        </w:rPr>
      </w:pPr>
      <w:r w:rsidRPr="00292852">
        <w:rPr>
          <w:color w:val="000000" w:themeColor="text1"/>
          <w:sz w:val="22"/>
          <w:szCs w:val="22"/>
        </w:rPr>
        <w:t>The appropriate pre-incubated TSB test substance broth was sub-cultured onto Pseudomonas Isolation Agar (PIA - Difco 292710) and incubated at 30 to 35°C for at least 48 hours.</w:t>
      </w:r>
    </w:p>
    <w:p w14:paraId="07DA9DF5" w14:textId="77777777" w:rsidR="009C1054" w:rsidRPr="00292852" w:rsidRDefault="009C1054" w:rsidP="009C1054">
      <w:pPr>
        <w:spacing w:after="0"/>
        <w:jc w:val="both"/>
        <w:rPr>
          <w:color w:val="000000" w:themeColor="text1"/>
          <w:sz w:val="22"/>
          <w:szCs w:val="22"/>
        </w:rPr>
      </w:pPr>
    </w:p>
    <w:p w14:paraId="68EA72CE" w14:textId="77777777" w:rsidR="009C1054" w:rsidRPr="00292852" w:rsidRDefault="009C1054" w:rsidP="009C1054">
      <w:pPr>
        <w:spacing w:after="0"/>
        <w:jc w:val="both"/>
        <w:rPr>
          <w:b/>
          <w:bCs/>
          <w:i/>
          <w:iCs/>
          <w:color w:val="000000" w:themeColor="text1"/>
          <w:sz w:val="22"/>
          <w:szCs w:val="22"/>
        </w:rPr>
      </w:pPr>
      <w:r w:rsidRPr="00292852">
        <w:rPr>
          <w:b/>
          <w:bCs/>
          <w:i/>
          <w:iCs/>
          <w:color w:val="000000" w:themeColor="text1"/>
          <w:sz w:val="22"/>
          <w:szCs w:val="22"/>
        </w:rPr>
        <w:t>Staphylococcus aureus</w:t>
      </w:r>
    </w:p>
    <w:p w14:paraId="05432886" w14:textId="77777777" w:rsidR="009C1054" w:rsidRPr="00292852" w:rsidRDefault="009C1054" w:rsidP="009C1054">
      <w:pPr>
        <w:spacing w:after="0"/>
        <w:jc w:val="both"/>
        <w:rPr>
          <w:b/>
          <w:bCs/>
          <w:color w:val="000000" w:themeColor="text1"/>
          <w:sz w:val="22"/>
          <w:szCs w:val="22"/>
        </w:rPr>
      </w:pPr>
    </w:p>
    <w:p w14:paraId="7C764E6E" w14:textId="77777777" w:rsidR="009C1054" w:rsidRPr="00292852" w:rsidRDefault="009C1054" w:rsidP="009C1054">
      <w:pPr>
        <w:spacing w:after="0"/>
        <w:jc w:val="both"/>
        <w:rPr>
          <w:color w:val="000000" w:themeColor="text1"/>
          <w:sz w:val="22"/>
          <w:szCs w:val="22"/>
        </w:rPr>
      </w:pPr>
      <w:r w:rsidRPr="00292852">
        <w:rPr>
          <w:color w:val="000000" w:themeColor="text1"/>
          <w:sz w:val="22"/>
          <w:szCs w:val="22"/>
        </w:rPr>
        <w:t>The appropriate pre-incubated TSB test substance broth was sub-cultured onto Mannitol Salts Agar (MSA - Oxoid CM85) and incubated at 30 to 35°C for at least 48 hours.</w:t>
      </w:r>
    </w:p>
    <w:p w14:paraId="61ABC32D" w14:textId="77777777" w:rsidR="009C1054" w:rsidRPr="00292852" w:rsidRDefault="009C1054" w:rsidP="009C1054">
      <w:pPr>
        <w:spacing w:after="0"/>
        <w:jc w:val="both"/>
        <w:rPr>
          <w:color w:val="000000" w:themeColor="text1"/>
          <w:sz w:val="22"/>
          <w:szCs w:val="22"/>
        </w:rPr>
      </w:pPr>
    </w:p>
    <w:p w14:paraId="583BB796" w14:textId="588ED2CA" w:rsidR="009C1054" w:rsidRPr="00292852" w:rsidRDefault="00BE72F5" w:rsidP="009657B7">
      <w:pPr>
        <w:spacing w:after="0" w:line="280" w:lineRule="exact"/>
        <w:jc w:val="both"/>
        <w:rPr>
          <w:color w:val="000000" w:themeColor="text1"/>
          <w:sz w:val="22"/>
          <w:szCs w:val="22"/>
        </w:rPr>
      </w:pPr>
      <w:r w:rsidRPr="00292852">
        <w:rPr>
          <w:color w:val="000000" w:themeColor="text1"/>
          <w:sz w:val="22"/>
          <w:szCs w:val="22"/>
        </w:rPr>
        <w:t>Validation of the recovery of the 4 pathogens listed above was performed using the above procedures. For each pathogen, 1 mL of an inoculum suspension containing 100 CFU of organism was added to an appropriate broth containing 10 g of test substance, equivalent to a detection limit of 10 CFU/g. A control broth without the test substance present was also inoculated with 1 mL of inoculum suspension. The above procedures were followed, and the absence or presence of the pathogen determined</w:t>
      </w:r>
      <w:r w:rsidR="009657B7" w:rsidRPr="00292852">
        <w:rPr>
          <w:color w:val="000000" w:themeColor="text1"/>
          <w:sz w:val="22"/>
          <w:szCs w:val="22"/>
        </w:rPr>
        <w:t>.</w:t>
      </w:r>
    </w:p>
    <w:p w14:paraId="0BF30E6E" w14:textId="77777777" w:rsidR="009657B7" w:rsidRPr="00292852" w:rsidRDefault="009657B7" w:rsidP="009657B7">
      <w:pPr>
        <w:spacing w:after="0" w:line="280" w:lineRule="exact"/>
        <w:jc w:val="both"/>
        <w:rPr>
          <w:color w:val="000000" w:themeColor="text1"/>
          <w:sz w:val="22"/>
          <w:szCs w:val="22"/>
        </w:rPr>
      </w:pPr>
    </w:p>
    <w:p w14:paraId="05FEE7C3" w14:textId="77777777" w:rsidR="009C1054" w:rsidRPr="00292852" w:rsidRDefault="009C1054" w:rsidP="009C1054">
      <w:pPr>
        <w:spacing w:after="0" w:line="280" w:lineRule="exact"/>
        <w:jc w:val="both"/>
        <w:rPr>
          <w:b/>
          <w:bCs/>
          <w:color w:val="000000" w:themeColor="text1"/>
          <w:sz w:val="22"/>
          <w:szCs w:val="22"/>
        </w:rPr>
      </w:pPr>
      <w:r w:rsidRPr="00292852">
        <w:rPr>
          <w:b/>
          <w:bCs/>
          <w:color w:val="000000" w:themeColor="text1"/>
          <w:sz w:val="22"/>
          <w:szCs w:val="22"/>
        </w:rPr>
        <w:t>Results:</w:t>
      </w:r>
    </w:p>
    <w:p w14:paraId="1F0DD765" w14:textId="77777777" w:rsidR="009C1054" w:rsidRPr="00292852" w:rsidRDefault="009C1054" w:rsidP="009C1054">
      <w:pPr>
        <w:spacing w:after="0" w:line="280" w:lineRule="exact"/>
        <w:jc w:val="both"/>
        <w:rPr>
          <w:color w:val="000000" w:themeColor="text1"/>
          <w:sz w:val="22"/>
          <w:szCs w:val="22"/>
        </w:rPr>
      </w:pPr>
    </w:p>
    <w:p w14:paraId="710CEFF7" w14:textId="769BDB7B" w:rsidR="009C1054" w:rsidRPr="00292852" w:rsidRDefault="009C1054" w:rsidP="009C1054">
      <w:pPr>
        <w:spacing w:after="0" w:line="280" w:lineRule="exact"/>
        <w:jc w:val="both"/>
        <w:rPr>
          <w:color w:val="000000" w:themeColor="text1"/>
          <w:sz w:val="22"/>
          <w:szCs w:val="22"/>
        </w:rPr>
      </w:pPr>
      <w:r w:rsidRPr="00292852">
        <w:rPr>
          <w:color w:val="000000" w:themeColor="text1"/>
          <w:sz w:val="22"/>
          <w:szCs w:val="22"/>
        </w:rPr>
        <w:t>The results for the microbiological examination prior to and following 1</w:t>
      </w:r>
      <w:r w:rsidR="00AC3860" w:rsidRPr="00292852">
        <w:rPr>
          <w:color w:val="000000" w:themeColor="text1"/>
          <w:sz w:val="22"/>
          <w:szCs w:val="22"/>
        </w:rPr>
        <w:t>5</w:t>
      </w:r>
      <w:r w:rsidRPr="00292852">
        <w:rPr>
          <w:color w:val="000000" w:themeColor="text1"/>
          <w:sz w:val="22"/>
          <w:szCs w:val="22"/>
        </w:rPr>
        <w:t xml:space="preserve"> months storage </w:t>
      </w:r>
      <w:r w:rsidRPr="00292852">
        <w:rPr>
          <w:color w:val="000000" w:themeColor="text1"/>
          <w:sz w:val="22"/>
          <w:szCs w:val="22"/>
          <w:lang w:val="en-US"/>
        </w:rPr>
        <w:t xml:space="preserve">at both test temperatures (15°C and 25°C) </w:t>
      </w:r>
      <w:r w:rsidRPr="00292852">
        <w:rPr>
          <w:color w:val="000000" w:themeColor="text1"/>
          <w:sz w:val="22"/>
          <w:szCs w:val="22"/>
        </w:rPr>
        <w:t>are presented in the tables below.</w:t>
      </w:r>
    </w:p>
    <w:p w14:paraId="185ED25D" w14:textId="77777777" w:rsidR="009C1054" w:rsidRPr="00292852" w:rsidRDefault="009C1054" w:rsidP="009C1054">
      <w:pPr>
        <w:spacing w:after="0" w:line="280" w:lineRule="exact"/>
        <w:jc w:val="both"/>
        <w:rPr>
          <w:color w:val="000000" w:themeColor="text1"/>
          <w:sz w:val="22"/>
          <w:szCs w:val="22"/>
        </w:rPr>
      </w:pPr>
    </w:p>
    <w:p w14:paraId="08B9088A" w14:textId="51CA59E3" w:rsidR="009C1054" w:rsidRPr="00292852" w:rsidRDefault="009C1054" w:rsidP="009C1054">
      <w:pPr>
        <w:spacing w:after="120" w:line="280" w:lineRule="exact"/>
        <w:jc w:val="both"/>
        <w:rPr>
          <w:b/>
          <w:bCs/>
          <w:color w:val="000000" w:themeColor="text1"/>
          <w:sz w:val="22"/>
          <w:szCs w:val="22"/>
        </w:rPr>
      </w:pPr>
      <w:r w:rsidRPr="00292852">
        <w:rPr>
          <w:b/>
          <w:bCs/>
          <w:color w:val="000000" w:themeColor="text1"/>
          <w:sz w:val="22"/>
          <w:szCs w:val="22"/>
        </w:rPr>
        <w:t>Screen for bacterial contaminants prior to and following 1</w:t>
      </w:r>
      <w:r w:rsidR="00AC3860" w:rsidRPr="00292852">
        <w:rPr>
          <w:b/>
          <w:bCs/>
          <w:color w:val="000000" w:themeColor="text1"/>
          <w:sz w:val="22"/>
          <w:szCs w:val="22"/>
        </w:rPr>
        <w:t>5</w:t>
      </w:r>
      <w:r w:rsidRPr="00292852">
        <w:rPr>
          <w:b/>
          <w:bCs/>
          <w:color w:val="000000" w:themeColor="text1"/>
          <w:sz w:val="22"/>
          <w:szCs w:val="22"/>
        </w:rPr>
        <w:t xml:space="preserve"> months storage</w:t>
      </w:r>
    </w:p>
    <w:tbl>
      <w:tblPr>
        <w:tblStyle w:val="Tabela-Siatka"/>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24"/>
        <w:gridCol w:w="1318"/>
        <w:gridCol w:w="1310"/>
        <w:gridCol w:w="1549"/>
        <w:gridCol w:w="1300"/>
        <w:gridCol w:w="1299"/>
      </w:tblGrid>
      <w:tr w:rsidR="00CB7CF7" w:rsidRPr="00292852" w14:paraId="391D30FD" w14:textId="77777777" w:rsidTr="00EE27EB">
        <w:tc>
          <w:tcPr>
            <w:tcW w:w="1324" w:type="dxa"/>
            <w:vMerge w:val="restart"/>
          </w:tcPr>
          <w:p w14:paraId="3D8945F0"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Timepoint</w:t>
            </w:r>
          </w:p>
        </w:tc>
        <w:tc>
          <w:tcPr>
            <w:tcW w:w="1318" w:type="dxa"/>
            <w:vMerge w:val="restart"/>
          </w:tcPr>
          <w:p w14:paraId="5DE13FB7"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Storage condition</w:t>
            </w:r>
          </w:p>
        </w:tc>
        <w:tc>
          <w:tcPr>
            <w:tcW w:w="1310" w:type="dxa"/>
            <w:vMerge w:val="restart"/>
          </w:tcPr>
          <w:p w14:paraId="255631B7" w14:textId="2DFD69E0" w:rsidR="00CB7CF7" w:rsidRPr="00292852" w:rsidRDefault="000473F1" w:rsidP="00B747F3">
            <w:pPr>
              <w:spacing w:after="0" w:line="280" w:lineRule="exact"/>
              <w:jc w:val="center"/>
              <w:rPr>
                <w:b/>
                <w:bCs/>
                <w:color w:val="000000" w:themeColor="text1"/>
                <w:sz w:val="22"/>
                <w:szCs w:val="22"/>
              </w:rPr>
            </w:pPr>
            <w:r w:rsidRPr="00292852">
              <w:rPr>
                <w:b/>
                <w:bCs/>
                <w:color w:val="000000" w:themeColor="text1"/>
                <w:sz w:val="22"/>
                <w:szCs w:val="22"/>
              </w:rPr>
              <w:t>Lowest</w:t>
            </w:r>
            <w:r w:rsidR="00CB7CF7" w:rsidRPr="00292852">
              <w:rPr>
                <w:b/>
                <w:bCs/>
                <w:color w:val="000000" w:themeColor="text1"/>
                <w:sz w:val="22"/>
                <w:szCs w:val="22"/>
              </w:rPr>
              <w:t xml:space="preserve"> dilution factor</w:t>
            </w:r>
          </w:p>
        </w:tc>
        <w:tc>
          <w:tcPr>
            <w:tcW w:w="2787" w:type="dxa"/>
            <w:gridSpan w:val="2"/>
          </w:tcPr>
          <w:p w14:paraId="76BDF1F9"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Plate count</w:t>
            </w:r>
          </w:p>
        </w:tc>
        <w:tc>
          <w:tcPr>
            <w:tcW w:w="1299" w:type="dxa"/>
            <w:vMerge w:val="restart"/>
          </w:tcPr>
          <w:p w14:paraId="6FF8DC02"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Plate count x dilution factor (CFU/g)</w:t>
            </w:r>
          </w:p>
        </w:tc>
      </w:tr>
      <w:tr w:rsidR="00CB7CF7" w:rsidRPr="00292852" w14:paraId="596388DD" w14:textId="77777777" w:rsidTr="00EE27EB">
        <w:tc>
          <w:tcPr>
            <w:tcW w:w="1324" w:type="dxa"/>
            <w:vMerge/>
          </w:tcPr>
          <w:p w14:paraId="2FED21EB" w14:textId="77777777" w:rsidR="00CB7CF7" w:rsidRPr="00292852" w:rsidRDefault="00CB7CF7" w:rsidP="00B747F3">
            <w:pPr>
              <w:spacing w:after="0" w:line="280" w:lineRule="exact"/>
              <w:jc w:val="both"/>
              <w:rPr>
                <w:b/>
                <w:bCs/>
                <w:color w:val="000000" w:themeColor="text1"/>
                <w:sz w:val="22"/>
                <w:szCs w:val="22"/>
              </w:rPr>
            </w:pPr>
          </w:p>
        </w:tc>
        <w:tc>
          <w:tcPr>
            <w:tcW w:w="1318" w:type="dxa"/>
            <w:vMerge/>
          </w:tcPr>
          <w:p w14:paraId="6D107CA5" w14:textId="77777777" w:rsidR="00CB7CF7" w:rsidRPr="00292852" w:rsidRDefault="00CB7CF7" w:rsidP="00B747F3">
            <w:pPr>
              <w:spacing w:after="0" w:line="280" w:lineRule="exact"/>
              <w:jc w:val="both"/>
              <w:rPr>
                <w:b/>
                <w:bCs/>
                <w:color w:val="000000" w:themeColor="text1"/>
                <w:sz w:val="22"/>
                <w:szCs w:val="22"/>
              </w:rPr>
            </w:pPr>
          </w:p>
        </w:tc>
        <w:tc>
          <w:tcPr>
            <w:tcW w:w="1310" w:type="dxa"/>
            <w:vMerge/>
          </w:tcPr>
          <w:p w14:paraId="2C8AAE18" w14:textId="77777777" w:rsidR="00CB7CF7" w:rsidRPr="00292852" w:rsidRDefault="00CB7CF7" w:rsidP="00B747F3">
            <w:pPr>
              <w:spacing w:after="0" w:line="280" w:lineRule="exact"/>
              <w:jc w:val="both"/>
              <w:rPr>
                <w:b/>
                <w:bCs/>
                <w:color w:val="000000" w:themeColor="text1"/>
                <w:sz w:val="22"/>
                <w:szCs w:val="22"/>
              </w:rPr>
            </w:pPr>
          </w:p>
        </w:tc>
        <w:tc>
          <w:tcPr>
            <w:tcW w:w="1487" w:type="dxa"/>
          </w:tcPr>
          <w:p w14:paraId="5F4594C6"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Colonies/plate</w:t>
            </w:r>
          </w:p>
        </w:tc>
        <w:tc>
          <w:tcPr>
            <w:tcW w:w="1300" w:type="dxa"/>
          </w:tcPr>
          <w:p w14:paraId="0B6969C4" w14:textId="77777777" w:rsidR="00CB7CF7" w:rsidRPr="00292852" w:rsidRDefault="00CB7CF7" w:rsidP="00B747F3">
            <w:pPr>
              <w:spacing w:after="0" w:line="280" w:lineRule="exact"/>
              <w:jc w:val="center"/>
              <w:rPr>
                <w:b/>
                <w:bCs/>
                <w:color w:val="000000" w:themeColor="text1"/>
                <w:sz w:val="22"/>
                <w:szCs w:val="22"/>
              </w:rPr>
            </w:pPr>
            <w:r w:rsidRPr="00292852">
              <w:rPr>
                <w:b/>
                <w:bCs/>
                <w:color w:val="000000" w:themeColor="text1"/>
                <w:sz w:val="22"/>
                <w:szCs w:val="22"/>
              </w:rPr>
              <w:t>Mean</w:t>
            </w:r>
          </w:p>
        </w:tc>
        <w:tc>
          <w:tcPr>
            <w:tcW w:w="1299" w:type="dxa"/>
            <w:vMerge/>
          </w:tcPr>
          <w:p w14:paraId="660B4504" w14:textId="77777777" w:rsidR="00CB7CF7" w:rsidRPr="00292852" w:rsidRDefault="00CB7CF7" w:rsidP="00B747F3">
            <w:pPr>
              <w:spacing w:after="0" w:line="280" w:lineRule="exact"/>
              <w:jc w:val="both"/>
              <w:rPr>
                <w:color w:val="000000" w:themeColor="text1"/>
                <w:sz w:val="22"/>
                <w:szCs w:val="22"/>
              </w:rPr>
            </w:pPr>
          </w:p>
        </w:tc>
      </w:tr>
      <w:tr w:rsidR="00CB7CF7" w:rsidRPr="00292852" w14:paraId="0516D8A3" w14:textId="77777777" w:rsidTr="00EE27EB">
        <w:tc>
          <w:tcPr>
            <w:tcW w:w="1324" w:type="dxa"/>
          </w:tcPr>
          <w:p w14:paraId="5A865B07" w14:textId="3E554918"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Initial</w:t>
            </w:r>
          </w:p>
        </w:tc>
        <w:tc>
          <w:tcPr>
            <w:tcW w:w="1318" w:type="dxa"/>
          </w:tcPr>
          <w:p w14:paraId="2B79856F" w14:textId="77777777"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w:t>
            </w:r>
          </w:p>
        </w:tc>
        <w:tc>
          <w:tcPr>
            <w:tcW w:w="1310" w:type="dxa"/>
          </w:tcPr>
          <w:p w14:paraId="7000CE82" w14:textId="23E1D58B"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10</w:t>
            </w:r>
            <w:r w:rsidR="002D1A57" w:rsidRPr="00292852">
              <w:rPr>
                <w:color w:val="000000" w:themeColor="text1"/>
                <w:sz w:val="22"/>
                <w:szCs w:val="22"/>
                <w:vertAlign w:val="superscript"/>
              </w:rPr>
              <w:t>1</w:t>
            </w:r>
          </w:p>
        </w:tc>
        <w:tc>
          <w:tcPr>
            <w:tcW w:w="1487" w:type="dxa"/>
          </w:tcPr>
          <w:p w14:paraId="69FF5399" w14:textId="00DA0CD3"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11, 9</w:t>
            </w:r>
          </w:p>
        </w:tc>
        <w:tc>
          <w:tcPr>
            <w:tcW w:w="1300" w:type="dxa"/>
          </w:tcPr>
          <w:p w14:paraId="033716E3" w14:textId="7DCE3E01"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10</w:t>
            </w:r>
          </w:p>
        </w:tc>
        <w:tc>
          <w:tcPr>
            <w:tcW w:w="1299" w:type="dxa"/>
          </w:tcPr>
          <w:p w14:paraId="7375B111" w14:textId="5CE53F6C"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100</w:t>
            </w:r>
          </w:p>
        </w:tc>
      </w:tr>
      <w:tr w:rsidR="00CB7CF7" w:rsidRPr="00292852" w14:paraId="024F072E" w14:textId="77777777" w:rsidTr="00EE27EB">
        <w:tc>
          <w:tcPr>
            <w:tcW w:w="1324" w:type="dxa"/>
          </w:tcPr>
          <w:p w14:paraId="007D6B33" w14:textId="1E183FDF"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456C1960" w14:textId="77777777"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15°C</w:t>
            </w:r>
          </w:p>
        </w:tc>
        <w:tc>
          <w:tcPr>
            <w:tcW w:w="1310" w:type="dxa"/>
          </w:tcPr>
          <w:p w14:paraId="5F16407B" w14:textId="29C9FA6F"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10</w:t>
            </w:r>
            <w:r w:rsidR="002D1A57" w:rsidRPr="00292852">
              <w:rPr>
                <w:color w:val="000000" w:themeColor="text1"/>
                <w:sz w:val="22"/>
                <w:szCs w:val="22"/>
                <w:vertAlign w:val="superscript"/>
              </w:rPr>
              <w:t>1</w:t>
            </w:r>
          </w:p>
        </w:tc>
        <w:tc>
          <w:tcPr>
            <w:tcW w:w="1487" w:type="dxa"/>
          </w:tcPr>
          <w:p w14:paraId="73B488E5" w14:textId="4C5E00F7"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0, 0</w:t>
            </w:r>
          </w:p>
        </w:tc>
        <w:tc>
          <w:tcPr>
            <w:tcW w:w="1300" w:type="dxa"/>
          </w:tcPr>
          <w:p w14:paraId="6FF4ADB4" w14:textId="500F6A61"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0</w:t>
            </w:r>
          </w:p>
        </w:tc>
        <w:tc>
          <w:tcPr>
            <w:tcW w:w="1299" w:type="dxa"/>
          </w:tcPr>
          <w:p w14:paraId="18B8BD9E" w14:textId="03345387"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&lt; 10</w:t>
            </w:r>
          </w:p>
        </w:tc>
      </w:tr>
      <w:tr w:rsidR="00CB7CF7" w:rsidRPr="00292852" w14:paraId="0686E5DC" w14:textId="77777777" w:rsidTr="00EE27EB">
        <w:tc>
          <w:tcPr>
            <w:tcW w:w="1324" w:type="dxa"/>
          </w:tcPr>
          <w:p w14:paraId="2CD32CB4" w14:textId="7E40869E"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4E543CAE" w14:textId="0D0179D8"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2</w:t>
            </w:r>
            <w:r w:rsidR="00A55025" w:rsidRPr="00292852">
              <w:rPr>
                <w:color w:val="000000" w:themeColor="text1"/>
                <w:sz w:val="22"/>
                <w:szCs w:val="22"/>
              </w:rPr>
              <w:t>0</w:t>
            </w:r>
            <w:r w:rsidRPr="00292852">
              <w:rPr>
                <w:color w:val="000000" w:themeColor="text1"/>
                <w:sz w:val="22"/>
                <w:szCs w:val="22"/>
              </w:rPr>
              <w:t>°C</w:t>
            </w:r>
          </w:p>
        </w:tc>
        <w:tc>
          <w:tcPr>
            <w:tcW w:w="1310" w:type="dxa"/>
          </w:tcPr>
          <w:p w14:paraId="10A8AD97" w14:textId="44992BFF" w:rsidR="00CB7CF7" w:rsidRPr="00292852" w:rsidRDefault="00CB7CF7" w:rsidP="00B747F3">
            <w:pPr>
              <w:spacing w:after="0" w:line="280" w:lineRule="exact"/>
              <w:jc w:val="center"/>
              <w:rPr>
                <w:color w:val="000000" w:themeColor="text1"/>
                <w:sz w:val="22"/>
                <w:szCs w:val="22"/>
              </w:rPr>
            </w:pPr>
            <w:r w:rsidRPr="00292852">
              <w:rPr>
                <w:color w:val="000000" w:themeColor="text1"/>
                <w:sz w:val="22"/>
                <w:szCs w:val="22"/>
              </w:rPr>
              <w:t>10</w:t>
            </w:r>
            <w:r w:rsidR="002D1A57" w:rsidRPr="00292852">
              <w:rPr>
                <w:color w:val="000000" w:themeColor="text1"/>
                <w:sz w:val="22"/>
                <w:szCs w:val="22"/>
                <w:vertAlign w:val="superscript"/>
              </w:rPr>
              <w:t>1</w:t>
            </w:r>
          </w:p>
        </w:tc>
        <w:tc>
          <w:tcPr>
            <w:tcW w:w="1487" w:type="dxa"/>
          </w:tcPr>
          <w:p w14:paraId="32182D2F" w14:textId="32DFA1C8"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0, 0</w:t>
            </w:r>
          </w:p>
        </w:tc>
        <w:tc>
          <w:tcPr>
            <w:tcW w:w="1300" w:type="dxa"/>
          </w:tcPr>
          <w:p w14:paraId="648A27CF" w14:textId="7A70EEE4"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0</w:t>
            </w:r>
          </w:p>
        </w:tc>
        <w:tc>
          <w:tcPr>
            <w:tcW w:w="1299" w:type="dxa"/>
          </w:tcPr>
          <w:p w14:paraId="232611D5" w14:textId="072E8BC0" w:rsidR="00CB7CF7" w:rsidRPr="00292852" w:rsidRDefault="002D1A57" w:rsidP="00B747F3">
            <w:pPr>
              <w:spacing w:after="0" w:line="280" w:lineRule="exact"/>
              <w:jc w:val="center"/>
              <w:rPr>
                <w:color w:val="000000" w:themeColor="text1"/>
                <w:sz w:val="22"/>
                <w:szCs w:val="22"/>
              </w:rPr>
            </w:pPr>
            <w:r w:rsidRPr="00292852">
              <w:rPr>
                <w:color w:val="000000" w:themeColor="text1"/>
                <w:sz w:val="22"/>
                <w:szCs w:val="22"/>
              </w:rPr>
              <w:t>&lt; 10</w:t>
            </w:r>
          </w:p>
        </w:tc>
      </w:tr>
    </w:tbl>
    <w:p w14:paraId="04298D06" w14:textId="77777777" w:rsidR="009C1054" w:rsidRPr="00292852" w:rsidRDefault="009C1054" w:rsidP="009C1054">
      <w:pPr>
        <w:spacing w:after="0"/>
        <w:rPr>
          <w:color w:val="000000" w:themeColor="text1"/>
          <w:sz w:val="18"/>
          <w:szCs w:val="18"/>
        </w:rPr>
      </w:pPr>
      <w:r w:rsidRPr="00292852">
        <w:rPr>
          <w:color w:val="000000" w:themeColor="text1"/>
          <w:sz w:val="18"/>
          <w:szCs w:val="18"/>
        </w:rPr>
        <w:t>CFU = Colony Forming Unit</w:t>
      </w:r>
    </w:p>
    <w:p w14:paraId="146EFD53" w14:textId="77777777" w:rsidR="002D1A57" w:rsidRPr="00292852" w:rsidRDefault="002D1A57" w:rsidP="009C1054">
      <w:pPr>
        <w:spacing w:after="120" w:line="280" w:lineRule="exact"/>
        <w:jc w:val="both"/>
        <w:rPr>
          <w:b/>
          <w:bCs/>
          <w:color w:val="000000" w:themeColor="text1"/>
          <w:sz w:val="22"/>
          <w:szCs w:val="22"/>
        </w:rPr>
      </w:pPr>
    </w:p>
    <w:p w14:paraId="4913DBB9" w14:textId="24A3D395" w:rsidR="009C1054" w:rsidRPr="00292852" w:rsidRDefault="009C1054" w:rsidP="005B74DE">
      <w:pPr>
        <w:keepNext/>
        <w:keepLines/>
        <w:suppressAutoHyphens/>
        <w:spacing w:after="120" w:line="280" w:lineRule="exact"/>
        <w:jc w:val="both"/>
        <w:rPr>
          <w:b/>
          <w:bCs/>
          <w:color w:val="000000" w:themeColor="text1"/>
          <w:sz w:val="22"/>
          <w:szCs w:val="22"/>
        </w:rPr>
      </w:pPr>
      <w:r w:rsidRPr="00292852">
        <w:rPr>
          <w:b/>
          <w:bCs/>
          <w:color w:val="000000" w:themeColor="text1"/>
          <w:sz w:val="22"/>
          <w:szCs w:val="22"/>
        </w:rPr>
        <w:t>Screen for fungal contaminants</w:t>
      </w:r>
      <w:r w:rsidRPr="00292852">
        <w:t xml:space="preserve"> </w:t>
      </w:r>
      <w:r w:rsidRPr="00292852">
        <w:rPr>
          <w:b/>
          <w:bCs/>
          <w:color w:val="000000" w:themeColor="text1"/>
          <w:sz w:val="22"/>
          <w:szCs w:val="22"/>
        </w:rPr>
        <w:t>prior to and following 1</w:t>
      </w:r>
      <w:r w:rsidR="00AC3860" w:rsidRPr="00292852">
        <w:rPr>
          <w:b/>
          <w:bCs/>
          <w:color w:val="000000" w:themeColor="text1"/>
          <w:sz w:val="22"/>
          <w:szCs w:val="22"/>
        </w:rPr>
        <w:t>5</w:t>
      </w:r>
      <w:r w:rsidRPr="00292852">
        <w:rPr>
          <w:b/>
          <w:bCs/>
          <w:color w:val="000000" w:themeColor="text1"/>
          <w:sz w:val="22"/>
          <w:szCs w:val="22"/>
        </w:rPr>
        <w:t xml:space="preserve"> months storage</w:t>
      </w:r>
    </w:p>
    <w:tbl>
      <w:tblPr>
        <w:tblStyle w:val="Tabela-Siatka"/>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24"/>
        <w:gridCol w:w="1318"/>
        <w:gridCol w:w="1310"/>
        <w:gridCol w:w="1549"/>
        <w:gridCol w:w="1300"/>
        <w:gridCol w:w="1299"/>
      </w:tblGrid>
      <w:tr w:rsidR="00AC3860" w:rsidRPr="00292852" w14:paraId="66064AF6" w14:textId="77777777" w:rsidTr="00EE27EB">
        <w:tc>
          <w:tcPr>
            <w:tcW w:w="1324" w:type="dxa"/>
            <w:vMerge w:val="restart"/>
          </w:tcPr>
          <w:p w14:paraId="63C7E6CD"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Timepoint</w:t>
            </w:r>
          </w:p>
        </w:tc>
        <w:tc>
          <w:tcPr>
            <w:tcW w:w="1318" w:type="dxa"/>
            <w:vMerge w:val="restart"/>
          </w:tcPr>
          <w:p w14:paraId="06EE3200"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Storage condition</w:t>
            </w:r>
          </w:p>
        </w:tc>
        <w:tc>
          <w:tcPr>
            <w:tcW w:w="1310" w:type="dxa"/>
            <w:vMerge w:val="restart"/>
          </w:tcPr>
          <w:p w14:paraId="7B00D036" w14:textId="3EB1F221" w:rsidR="00AC3860" w:rsidRPr="00292852" w:rsidRDefault="000473F1"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 xml:space="preserve">Lowest </w:t>
            </w:r>
            <w:r w:rsidR="00AC3860" w:rsidRPr="00292852">
              <w:rPr>
                <w:b/>
                <w:bCs/>
                <w:color w:val="000000" w:themeColor="text1"/>
                <w:sz w:val="22"/>
                <w:szCs w:val="22"/>
              </w:rPr>
              <w:t>dilution factor</w:t>
            </w:r>
          </w:p>
        </w:tc>
        <w:tc>
          <w:tcPr>
            <w:tcW w:w="2787" w:type="dxa"/>
            <w:gridSpan w:val="2"/>
          </w:tcPr>
          <w:p w14:paraId="694099E1"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Plate count</w:t>
            </w:r>
          </w:p>
        </w:tc>
        <w:tc>
          <w:tcPr>
            <w:tcW w:w="1299" w:type="dxa"/>
            <w:vMerge w:val="restart"/>
          </w:tcPr>
          <w:p w14:paraId="6E5C4D17"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Plate count x dilution factor (CFU/g)</w:t>
            </w:r>
          </w:p>
        </w:tc>
      </w:tr>
      <w:tr w:rsidR="00AC3860" w:rsidRPr="00292852" w14:paraId="56854BBC" w14:textId="77777777" w:rsidTr="00EE27EB">
        <w:tc>
          <w:tcPr>
            <w:tcW w:w="1324" w:type="dxa"/>
            <w:vMerge/>
          </w:tcPr>
          <w:p w14:paraId="1A76B6E1" w14:textId="77777777" w:rsidR="00AC3860" w:rsidRPr="00292852" w:rsidRDefault="00AC3860" w:rsidP="005B74DE">
            <w:pPr>
              <w:keepNext/>
              <w:keepLines/>
              <w:suppressAutoHyphens/>
              <w:spacing w:after="0" w:line="280" w:lineRule="exact"/>
              <w:jc w:val="both"/>
              <w:rPr>
                <w:color w:val="000000" w:themeColor="text1"/>
                <w:sz w:val="22"/>
                <w:szCs w:val="22"/>
              </w:rPr>
            </w:pPr>
          </w:p>
        </w:tc>
        <w:tc>
          <w:tcPr>
            <w:tcW w:w="1318" w:type="dxa"/>
            <w:vMerge/>
          </w:tcPr>
          <w:p w14:paraId="5752A4B6" w14:textId="77777777" w:rsidR="00AC3860" w:rsidRPr="00292852" w:rsidRDefault="00AC3860" w:rsidP="005B74DE">
            <w:pPr>
              <w:keepNext/>
              <w:keepLines/>
              <w:suppressAutoHyphens/>
              <w:spacing w:after="0" w:line="280" w:lineRule="exact"/>
              <w:jc w:val="both"/>
              <w:rPr>
                <w:color w:val="000000" w:themeColor="text1"/>
                <w:sz w:val="22"/>
                <w:szCs w:val="22"/>
              </w:rPr>
            </w:pPr>
          </w:p>
        </w:tc>
        <w:tc>
          <w:tcPr>
            <w:tcW w:w="1310" w:type="dxa"/>
            <w:vMerge/>
          </w:tcPr>
          <w:p w14:paraId="1885C531" w14:textId="77777777" w:rsidR="00AC3860" w:rsidRPr="00292852" w:rsidRDefault="00AC3860" w:rsidP="005B74DE">
            <w:pPr>
              <w:keepNext/>
              <w:keepLines/>
              <w:suppressAutoHyphens/>
              <w:spacing w:after="0" w:line="280" w:lineRule="exact"/>
              <w:jc w:val="both"/>
              <w:rPr>
                <w:color w:val="000000" w:themeColor="text1"/>
                <w:sz w:val="22"/>
                <w:szCs w:val="22"/>
              </w:rPr>
            </w:pPr>
          </w:p>
        </w:tc>
        <w:tc>
          <w:tcPr>
            <w:tcW w:w="1487" w:type="dxa"/>
          </w:tcPr>
          <w:p w14:paraId="5EEAB1EE"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Colonies/plate</w:t>
            </w:r>
          </w:p>
        </w:tc>
        <w:tc>
          <w:tcPr>
            <w:tcW w:w="1300" w:type="dxa"/>
          </w:tcPr>
          <w:p w14:paraId="6CB8DC16" w14:textId="77777777" w:rsidR="00AC3860" w:rsidRPr="00292852" w:rsidRDefault="00AC3860" w:rsidP="005B74DE">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Mean</w:t>
            </w:r>
          </w:p>
        </w:tc>
        <w:tc>
          <w:tcPr>
            <w:tcW w:w="1299" w:type="dxa"/>
            <w:vMerge/>
          </w:tcPr>
          <w:p w14:paraId="0AE03606" w14:textId="77777777" w:rsidR="00AC3860" w:rsidRPr="00292852" w:rsidRDefault="00AC3860" w:rsidP="005B74DE">
            <w:pPr>
              <w:keepNext/>
              <w:keepLines/>
              <w:suppressAutoHyphens/>
              <w:spacing w:after="0" w:line="280" w:lineRule="exact"/>
              <w:jc w:val="both"/>
              <w:rPr>
                <w:color w:val="000000" w:themeColor="text1"/>
                <w:sz w:val="22"/>
                <w:szCs w:val="22"/>
              </w:rPr>
            </w:pPr>
          </w:p>
        </w:tc>
      </w:tr>
      <w:tr w:rsidR="00AC3860" w:rsidRPr="00292852" w14:paraId="5F739D94" w14:textId="77777777" w:rsidTr="00EE27EB">
        <w:tc>
          <w:tcPr>
            <w:tcW w:w="1324" w:type="dxa"/>
          </w:tcPr>
          <w:p w14:paraId="52B7570B"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Initial</w:t>
            </w:r>
          </w:p>
        </w:tc>
        <w:tc>
          <w:tcPr>
            <w:tcW w:w="1318" w:type="dxa"/>
          </w:tcPr>
          <w:p w14:paraId="5E93227A"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w:t>
            </w:r>
          </w:p>
        </w:tc>
        <w:tc>
          <w:tcPr>
            <w:tcW w:w="1310" w:type="dxa"/>
          </w:tcPr>
          <w:p w14:paraId="4D9E8839"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10</w:t>
            </w:r>
            <w:r w:rsidRPr="00292852">
              <w:rPr>
                <w:color w:val="000000" w:themeColor="text1"/>
                <w:sz w:val="22"/>
                <w:szCs w:val="22"/>
                <w:vertAlign w:val="superscript"/>
              </w:rPr>
              <w:t>1</w:t>
            </w:r>
          </w:p>
        </w:tc>
        <w:tc>
          <w:tcPr>
            <w:tcW w:w="1487" w:type="dxa"/>
          </w:tcPr>
          <w:p w14:paraId="55DCCDBE" w14:textId="7CD4052E" w:rsidR="00AC3860" w:rsidRPr="00292852" w:rsidRDefault="003F0765"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w:t>
            </w:r>
            <w:r w:rsidR="00AC3860" w:rsidRPr="00292852">
              <w:rPr>
                <w:color w:val="000000" w:themeColor="text1"/>
                <w:sz w:val="22"/>
                <w:szCs w:val="22"/>
              </w:rPr>
              <w:t xml:space="preserve">, </w:t>
            </w:r>
            <w:r w:rsidRPr="00292852">
              <w:rPr>
                <w:color w:val="000000" w:themeColor="text1"/>
                <w:sz w:val="22"/>
                <w:szCs w:val="22"/>
              </w:rPr>
              <w:t>0</w:t>
            </w:r>
          </w:p>
        </w:tc>
        <w:tc>
          <w:tcPr>
            <w:tcW w:w="1300" w:type="dxa"/>
          </w:tcPr>
          <w:p w14:paraId="12CDE677" w14:textId="26FB0B55" w:rsidR="00AC3860" w:rsidRPr="00292852" w:rsidRDefault="003F0765"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w:t>
            </w:r>
          </w:p>
        </w:tc>
        <w:tc>
          <w:tcPr>
            <w:tcW w:w="1299" w:type="dxa"/>
          </w:tcPr>
          <w:p w14:paraId="000F210D" w14:textId="3B7D5742" w:rsidR="00AC3860" w:rsidRPr="00292852" w:rsidRDefault="003F0765"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&lt; 10</w:t>
            </w:r>
          </w:p>
        </w:tc>
      </w:tr>
      <w:tr w:rsidR="00AC3860" w:rsidRPr="00292852" w14:paraId="79F2091B" w14:textId="77777777" w:rsidTr="00EE27EB">
        <w:tc>
          <w:tcPr>
            <w:tcW w:w="1324" w:type="dxa"/>
          </w:tcPr>
          <w:p w14:paraId="717116E6"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1A885EC2"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15°C</w:t>
            </w:r>
          </w:p>
        </w:tc>
        <w:tc>
          <w:tcPr>
            <w:tcW w:w="1310" w:type="dxa"/>
          </w:tcPr>
          <w:p w14:paraId="7CA7ECD9"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10</w:t>
            </w:r>
            <w:r w:rsidRPr="00292852">
              <w:rPr>
                <w:color w:val="000000" w:themeColor="text1"/>
                <w:sz w:val="22"/>
                <w:szCs w:val="22"/>
                <w:vertAlign w:val="superscript"/>
              </w:rPr>
              <w:t>1</w:t>
            </w:r>
          </w:p>
        </w:tc>
        <w:tc>
          <w:tcPr>
            <w:tcW w:w="1487" w:type="dxa"/>
          </w:tcPr>
          <w:p w14:paraId="51363FC3"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0, 0</w:t>
            </w:r>
          </w:p>
        </w:tc>
        <w:tc>
          <w:tcPr>
            <w:tcW w:w="1300" w:type="dxa"/>
          </w:tcPr>
          <w:p w14:paraId="2938EA4B"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w:t>
            </w:r>
          </w:p>
        </w:tc>
        <w:tc>
          <w:tcPr>
            <w:tcW w:w="1299" w:type="dxa"/>
          </w:tcPr>
          <w:p w14:paraId="0780F98B"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&lt; 10</w:t>
            </w:r>
          </w:p>
        </w:tc>
      </w:tr>
      <w:tr w:rsidR="00AC3860" w:rsidRPr="00292852" w14:paraId="65463273" w14:textId="77777777" w:rsidTr="00EE27EB">
        <w:tc>
          <w:tcPr>
            <w:tcW w:w="1324" w:type="dxa"/>
          </w:tcPr>
          <w:p w14:paraId="5554592D"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1FEE03AB"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20°C</w:t>
            </w:r>
          </w:p>
        </w:tc>
        <w:tc>
          <w:tcPr>
            <w:tcW w:w="1310" w:type="dxa"/>
          </w:tcPr>
          <w:p w14:paraId="090F7551"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10</w:t>
            </w:r>
            <w:r w:rsidRPr="00292852">
              <w:rPr>
                <w:color w:val="000000" w:themeColor="text1"/>
                <w:sz w:val="22"/>
                <w:szCs w:val="22"/>
                <w:vertAlign w:val="superscript"/>
              </w:rPr>
              <w:t>1</w:t>
            </w:r>
          </w:p>
        </w:tc>
        <w:tc>
          <w:tcPr>
            <w:tcW w:w="1487" w:type="dxa"/>
          </w:tcPr>
          <w:p w14:paraId="31144EC3"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0, 0</w:t>
            </w:r>
          </w:p>
        </w:tc>
        <w:tc>
          <w:tcPr>
            <w:tcW w:w="1300" w:type="dxa"/>
          </w:tcPr>
          <w:p w14:paraId="731E5A5D"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0</w:t>
            </w:r>
          </w:p>
        </w:tc>
        <w:tc>
          <w:tcPr>
            <w:tcW w:w="1299" w:type="dxa"/>
          </w:tcPr>
          <w:p w14:paraId="6E7DA595" w14:textId="77777777" w:rsidR="00AC3860" w:rsidRPr="00292852" w:rsidRDefault="00AC3860" w:rsidP="005B74DE">
            <w:pPr>
              <w:keepNext/>
              <w:keepLines/>
              <w:suppressAutoHyphens/>
              <w:spacing w:after="0" w:line="280" w:lineRule="exact"/>
              <w:jc w:val="center"/>
              <w:rPr>
                <w:color w:val="000000" w:themeColor="text1"/>
                <w:sz w:val="22"/>
                <w:szCs w:val="22"/>
              </w:rPr>
            </w:pPr>
            <w:r w:rsidRPr="00292852">
              <w:rPr>
                <w:color w:val="000000" w:themeColor="text1"/>
                <w:sz w:val="22"/>
                <w:szCs w:val="22"/>
              </w:rPr>
              <w:t>&lt; 10</w:t>
            </w:r>
          </w:p>
        </w:tc>
      </w:tr>
    </w:tbl>
    <w:p w14:paraId="711B2651" w14:textId="77777777" w:rsidR="009C1054" w:rsidRPr="00292852" w:rsidRDefault="009C1054" w:rsidP="005B74DE">
      <w:pPr>
        <w:keepNext/>
        <w:keepLines/>
        <w:suppressAutoHyphens/>
        <w:spacing w:after="0" w:line="280" w:lineRule="exact"/>
        <w:jc w:val="both"/>
        <w:rPr>
          <w:color w:val="000000" w:themeColor="text1"/>
          <w:sz w:val="18"/>
          <w:szCs w:val="18"/>
        </w:rPr>
      </w:pPr>
      <w:r w:rsidRPr="00292852">
        <w:rPr>
          <w:color w:val="000000" w:themeColor="text1"/>
          <w:sz w:val="18"/>
          <w:szCs w:val="18"/>
        </w:rPr>
        <w:t>CFU = Colony Forming Unit</w:t>
      </w:r>
    </w:p>
    <w:p w14:paraId="3999D41B" w14:textId="77777777" w:rsidR="009C1054" w:rsidRPr="00292852" w:rsidRDefault="009C1054" w:rsidP="009C1054">
      <w:pPr>
        <w:spacing w:line="280" w:lineRule="exact"/>
        <w:jc w:val="both"/>
        <w:rPr>
          <w:color w:val="000000" w:themeColor="text1"/>
          <w:sz w:val="22"/>
          <w:szCs w:val="22"/>
        </w:rPr>
      </w:pPr>
    </w:p>
    <w:p w14:paraId="5D6AF230" w14:textId="3C424ED8" w:rsidR="009C1054" w:rsidRPr="00292852" w:rsidRDefault="009C1054" w:rsidP="009C1054">
      <w:pPr>
        <w:spacing w:after="120"/>
        <w:rPr>
          <w:b/>
          <w:bCs/>
          <w:color w:val="000000" w:themeColor="text1"/>
          <w:sz w:val="22"/>
          <w:szCs w:val="22"/>
        </w:rPr>
      </w:pPr>
      <w:r w:rsidRPr="00292852">
        <w:rPr>
          <w:b/>
          <w:bCs/>
          <w:color w:val="000000" w:themeColor="text1"/>
          <w:sz w:val="22"/>
          <w:szCs w:val="22"/>
        </w:rPr>
        <w:lastRenderedPageBreak/>
        <w:t>Screen for bacterial pathogens in colony forming units (CFU) per gram prior to and following 1</w:t>
      </w:r>
      <w:r w:rsidR="00AC3860" w:rsidRPr="00292852">
        <w:rPr>
          <w:b/>
          <w:bCs/>
          <w:color w:val="000000" w:themeColor="text1"/>
          <w:sz w:val="22"/>
          <w:szCs w:val="22"/>
        </w:rPr>
        <w:t>5</w:t>
      </w:r>
      <w:r w:rsidRPr="00292852">
        <w:rPr>
          <w:b/>
          <w:bCs/>
          <w:color w:val="000000" w:themeColor="text1"/>
          <w:sz w:val="22"/>
          <w:szCs w:val="22"/>
        </w:rPr>
        <w:t xml:space="preserve"> months storage</w:t>
      </w:r>
    </w:p>
    <w:tbl>
      <w:tblPr>
        <w:tblStyle w:val="Tabela-Siatka"/>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24"/>
        <w:gridCol w:w="1318"/>
        <w:gridCol w:w="1310"/>
        <w:gridCol w:w="1487"/>
        <w:gridCol w:w="1476"/>
        <w:gridCol w:w="1622"/>
      </w:tblGrid>
      <w:tr w:rsidR="00291E58" w:rsidRPr="00292852" w14:paraId="1454D468" w14:textId="77777777" w:rsidTr="00EE27EB">
        <w:tc>
          <w:tcPr>
            <w:tcW w:w="1324" w:type="dxa"/>
            <w:vMerge w:val="restart"/>
          </w:tcPr>
          <w:p w14:paraId="1209D730" w14:textId="77777777" w:rsidR="00291E58" w:rsidRPr="00292852" w:rsidRDefault="00291E58" w:rsidP="00B747F3">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Timepoint</w:t>
            </w:r>
          </w:p>
        </w:tc>
        <w:tc>
          <w:tcPr>
            <w:tcW w:w="1318" w:type="dxa"/>
            <w:vMerge w:val="restart"/>
          </w:tcPr>
          <w:p w14:paraId="1E90FDD1" w14:textId="77777777" w:rsidR="00291E58" w:rsidRPr="00292852" w:rsidRDefault="00291E58" w:rsidP="00B747F3">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Storage condition</w:t>
            </w:r>
          </w:p>
        </w:tc>
        <w:tc>
          <w:tcPr>
            <w:tcW w:w="5895" w:type="dxa"/>
            <w:gridSpan w:val="4"/>
          </w:tcPr>
          <w:p w14:paraId="4076457E" w14:textId="5BF92E11" w:rsidR="00291E58" w:rsidRPr="00292852" w:rsidRDefault="00291E58" w:rsidP="00291E58">
            <w:pPr>
              <w:keepNext/>
              <w:keepLines/>
              <w:suppressAutoHyphens/>
              <w:spacing w:after="0" w:line="280" w:lineRule="exact"/>
              <w:jc w:val="center"/>
              <w:rPr>
                <w:b/>
                <w:bCs/>
                <w:color w:val="000000" w:themeColor="text1"/>
                <w:sz w:val="22"/>
                <w:szCs w:val="22"/>
              </w:rPr>
            </w:pPr>
            <w:r w:rsidRPr="00292852">
              <w:rPr>
                <w:b/>
                <w:bCs/>
                <w:color w:val="000000" w:themeColor="text1"/>
                <w:sz w:val="22"/>
                <w:szCs w:val="22"/>
              </w:rPr>
              <w:t xml:space="preserve">Colony </w:t>
            </w:r>
            <w:r w:rsidR="000473F1" w:rsidRPr="00292852">
              <w:rPr>
                <w:b/>
                <w:bCs/>
                <w:color w:val="000000" w:themeColor="text1"/>
                <w:sz w:val="22"/>
                <w:szCs w:val="22"/>
              </w:rPr>
              <w:t>forming units (CFU) per gram</w:t>
            </w:r>
          </w:p>
        </w:tc>
      </w:tr>
      <w:tr w:rsidR="00885A03" w:rsidRPr="00292852" w14:paraId="21E7A94A" w14:textId="77777777" w:rsidTr="00EE27EB">
        <w:tc>
          <w:tcPr>
            <w:tcW w:w="1324" w:type="dxa"/>
            <w:vMerge/>
          </w:tcPr>
          <w:p w14:paraId="15656743" w14:textId="77777777" w:rsidR="00885A03" w:rsidRPr="00292852" w:rsidRDefault="00885A03" w:rsidP="00B747F3">
            <w:pPr>
              <w:keepNext/>
              <w:keepLines/>
              <w:suppressAutoHyphens/>
              <w:spacing w:after="0" w:line="280" w:lineRule="exact"/>
              <w:jc w:val="both"/>
              <w:rPr>
                <w:b/>
                <w:bCs/>
                <w:color w:val="000000" w:themeColor="text1"/>
                <w:sz w:val="22"/>
                <w:szCs w:val="22"/>
              </w:rPr>
            </w:pPr>
          </w:p>
        </w:tc>
        <w:tc>
          <w:tcPr>
            <w:tcW w:w="1318" w:type="dxa"/>
            <w:vMerge/>
          </w:tcPr>
          <w:p w14:paraId="6E3721C5" w14:textId="77777777" w:rsidR="00885A03" w:rsidRPr="00292852" w:rsidRDefault="00885A03" w:rsidP="00B747F3">
            <w:pPr>
              <w:keepNext/>
              <w:keepLines/>
              <w:suppressAutoHyphens/>
              <w:spacing w:after="0" w:line="280" w:lineRule="exact"/>
              <w:jc w:val="both"/>
              <w:rPr>
                <w:b/>
                <w:bCs/>
                <w:color w:val="000000" w:themeColor="text1"/>
                <w:sz w:val="22"/>
                <w:szCs w:val="22"/>
              </w:rPr>
            </w:pPr>
          </w:p>
        </w:tc>
        <w:tc>
          <w:tcPr>
            <w:tcW w:w="1310" w:type="dxa"/>
          </w:tcPr>
          <w:p w14:paraId="541777C1" w14:textId="1235494B" w:rsidR="00885A03" w:rsidRPr="00292852" w:rsidRDefault="00AF564B" w:rsidP="00291E58">
            <w:pPr>
              <w:keepNext/>
              <w:keepLines/>
              <w:suppressAutoHyphens/>
              <w:spacing w:after="0" w:line="280" w:lineRule="exact"/>
              <w:jc w:val="center"/>
              <w:rPr>
                <w:b/>
                <w:bCs/>
                <w:i/>
                <w:iCs/>
                <w:color w:val="000000" w:themeColor="text1"/>
                <w:sz w:val="22"/>
                <w:szCs w:val="22"/>
              </w:rPr>
            </w:pPr>
            <w:r w:rsidRPr="00292852">
              <w:rPr>
                <w:b/>
                <w:bCs/>
                <w:i/>
                <w:iCs/>
                <w:color w:val="000000" w:themeColor="text1"/>
                <w:sz w:val="22"/>
                <w:szCs w:val="22"/>
              </w:rPr>
              <w:t>Escherichia coli</w:t>
            </w:r>
          </w:p>
        </w:tc>
        <w:tc>
          <w:tcPr>
            <w:tcW w:w="1487" w:type="dxa"/>
          </w:tcPr>
          <w:p w14:paraId="235A0440" w14:textId="0BCE10A3" w:rsidR="00885A03" w:rsidRPr="00292852" w:rsidRDefault="00AF564B" w:rsidP="00291E58">
            <w:pPr>
              <w:keepNext/>
              <w:keepLines/>
              <w:suppressAutoHyphens/>
              <w:spacing w:after="0" w:line="280" w:lineRule="exact"/>
              <w:jc w:val="center"/>
              <w:rPr>
                <w:b/>
                <w:bCs/>
                <w:i/>
                <w:iCs/>
                <w:color w:val="000000" w:themeColor="text1"/>
                <w:sz w:val="22"/>
                <w:szCs w:val="22"/>
              </w:rPr>
            </w:pPr>
            <w:r w:rsidRPr="00292852">
              <w:rPr>
                <w:b/>
                <w:bCs/>
                <w:i/>
                <w:iCs/>
                <w:color w:val="000000" w:themeColor="text1"/>
                <w:sz w:val="22"/>
                <w:szCs w:val="22"/>
              </w:rPr>
              <w:t>Salmonella</w:t>
            </w:r>
          </w:p>
        </w:tc>
        <w:tc>
          <w:tcPr>
            <w:tcW w:w="1476" w:type="dxa"/>
          </w:tcPr>
          <w:p w14:paraId="4F61DC9F" w14:textId="71F646DC" w:rsidR="00885A03" w:rsidRPr="00292852" w:rsidRDefault="00AF564B" w:rsidP="00291E58">
            <w:pPr>
              <w:keepNext/>
              <w:keepLines/>
              <w:suppressAutoHyphens/>
              <w:spacing w:after="0" w:line="280" w:lineRule="exact"/>
              <w:jc w:val="center"/>
              <w:rPr>
                <w:b/>
                <w:bCs/>
                <w:i/>
                <w:iCs/>
                <w:color w:val="000000" w:themeColor="text1"/>
                <w:sz w:val="22"/>
                <w:szCs w:val="22"/>
              </w:rPr>
            </w:pPr>
            <w:r w:rsidRPr="00292852">
              <w:rPr>
                <w:b/>
                <w:bCs/>
                <w:i/>
                <w:iCs/>
                <w:color w:val="000000" w:themeColor="text1"/>
                <w:sz w:val="22"/>
                <w:szCs w:val="22"/>
              </w:rPr>
              <w:t>Pseudomonas aeruginosa</w:t>
            </w:r>
          </w:p>
        </w:tc>
        <w:tc>
          <w:tcPr>
            <w:tcW w:w="1622" w:type="dxa"/>
          </w:tcPr>
          <w:p w14:paraId="7859A3A3" w14:textId="5D628F85" w:rsidR="00885A03" w:rsidRPr="00292852" w:rsidRDefault="00AF564B" w:rsidP="00291E58">
            <w:pPr>
              <w:keepNext/>
              <w:keepLines/>
              <w:suppressAutoHyphens/>
              <w:spacing w:after="0" w:line="280" w:lineRule="exact"/>
              <w:jc w:val="center"/>
              <w:rPr>
                <w:b/>
                <w:bCs/>
                <w:i/>
                <w:iCs/>
                <w:color w:val="000000" w:themeColor="text1"/>
                <w:sz w:val="22"/>
                <w:szCs w:val="22"/>
              </w:rPr>
            </w:pPr>
            <w:r w:rsidRPr="00292852">
              <w:rPr>
                <w:b/>
                <w:bCs/>
                <w:i/>
                <w:iCs/>
                <w:color w:val="000000" w:themeColor="text1"/>
                <w:sz w:val="22"/>
                <w:szCs w:val="22"/>
              </w:rPr>
              <w:t>Staphylococcus au</w:t>
            </w:r>
            <w:r w:rsidR="002C68BC" w:rsidRPr="00292852">
              <w:rPr>
                <w:b/>
                <w:bCs/>
                <w:i/>
                <w:iCs/>
                <w:color w:val="000000" w:themeColor="text1"/>
                <w:sz w:val="22"/>
                <w:szCs w:val="22"/>
              </w:rPr>
              <w:t>reus</w:t>
            </w:r>
          </w:p>
        </w:tc>
      </w:tr>
      <w:tr w:rsidR="002C68BC" w:rsidRPr="00292852" w14:paraId="052B770F" w14:textId="77777777" w:rsidTr="00EE27EB">
        <w:tc>
          <w:tcPr>
            <w:tcW w:w="1324" w:type="dxa"/>
          </w:tcPr>
          <w:p w14:paraId="4F564623"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Initial</w:t>
            </w:r>
          </w:p>
        </w:tc>
        <w:tc>
          <w:tcPr>
            <w:tcW w:w="1318" w:type="dxa"/>
          </w:tcPr>
          <w:p w14:paraId="3BCD86C7"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w:t>
            </w:r>
          </w:p>
        </w:tc>
        <w:tc>
          <w:tcPr>
            <w:tcW w:w="1310" w:type="dxa"/>
          </w:tcPr>
          <w:p w14:paraId="56B866DE" w14:textId="31BDDE18"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87" w:type="dxa"/>
          </w:tcPr>
          <w:p w14:paraId="7B4F4609" w14:textId="530128DA"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76" w:type="dxa"/>
          </w:tcPr>
          <w:p w14:paraId="2B3EBCFC" w14:textId="01BEC9F8"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622" w:type="dxa"/>
          </w:tcPr>
          <w:p w14:paraId="20E4D0D0" w14:textId="43E0410E"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r>
      <w:tr w:rsidR="002C68BC" w:rsidRPr="00292852" w14:paraId="2C5485DF" w14:textId="77777777" w:rsidTr="00EE27EB">
        <w:tc>
          <w:tcPr>
            <w:tcW w:w="1324" w:type="dxa"/>
          </w:tcPr>
          <w:p w14:paraId="6F833677"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17CD6007"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15°C</w:t>
            </w:r>
          </w:p>
        </w:tc>
        <w:tc>
          <w:tcPr>
            <w:tcW w:w="1310" w:type="dxa"/>
          </w:tcPr>
          <w:p w14:paraId="3CE9BC7E" w14:textId="39AB698B"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87" w:type="dxa"/>
          </w:tcPr>
          <w:p w14:paraId="6DF10058" w14:textId="6E89063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76" w:type="dxa"/>
          </w:tcPr>
          <w:p w14:paraId="51A71040" w14:textId="0F56E233"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622" w:type="dxa"/>
          </w:tcPr>
          <w:p w14:paraId="112750D4" w14:textId="0D2C9FBD"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r>
      <w:tr w:rsidR="002C68BC" w:rsidRPr="00292852" w14:paraId="3CD99D6F" w14:textId="77777777" w:rsidTr="00EE27EB">
        <w:tc>
          <w:tcPr>
            <w:tcW w:w="1324" w:type="dxa"/>
          </w:tcPr>
          <w:p w14:paraId="41A07FF9"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15 months</w:t>
            </w:r>
          </w:p>
        </w:tc>
        <w:tc>
          <w:tcPr>
            <w:tcW w:w="1318" w:type="dxa"/>
          </w:tcPr>
          <w:p w14:paraId="455A43A1" w14:textId="77777777"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20°C</w:t>
            </w:r>
          </w:p>
        </w:tc>
        <w:tc>
          <w:tcPr>
            <w:tcW w:w="1310" w:type="dxa"/>
          </w:tcPr>
          <w:p w14:paraId="32E15EF7" w14:textId="45647C4E"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87" w:type="dxa"/>
          </w:tcPr>
          <w:p w14:paraId="0B04FDA7" w14:textId="19C04FB6"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476" w:type="dxa"/>
          </w:tcPr>
          <w:p w14:paraId="5983B3ED" w14:textId="13306D5D"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c>
          <w:tcPr>
            <w:tcW w:w="1622" w:type="dxa"/>
          </w:tcPr>
          <w:p w14:paraId="2C9A7725" w14:textId="03F8CD7C" w:rsidR="002C68BC" w:rsidRPr="00292852" w:rsidRDefault="002C68BC" w:rsidP="002C68BC">
            <w:pPr>
              <w:keepNext/>
              <w:keepLines/>
              <w:suppressAutoHyphens/>
              <w:spacing w:after="0" w:line="280" w:lineRule="exact"/>
              <w:jc w:val="center"/>
              <w:rPr>
                <w:color w:val="000000" w:themeColor="text1"/>
                <w:sz w:val="22"/>
                <w:szCs w:val="22"/>
              </w:rPr>
            </w:pPr>
            <w:r w:rsidRPr="00292852">
              <w:rPr>
                <w:color w:val="000000" w:themeColor="text1"/>
                <w:sz w:val="22"/>
                <w:szCs w:val="22"/>
              </w:rPr>
              <w:t>Absent</w:t>
            </w:r>
          </w:p>
        </w:tc>
      </w:tr>
    </w:tbl>
    <w:p w14:paraId="520FAD43" w14:textId="77777777" w:rsidR="009C1054" w:rsidRPr="00292852" w:rsidRDefault="009C1054" w:rsidP="009C1054">
      <w:pPr>
        <w:spacing w:after="0" w:line="280" w:lineRule="exact"/>
        <w:jc w:val="both"/>
        <w:rPr>
          <w:color w:val="000000" w:themeColor="text1"/>
          <w:sz w:val="18"/>
          <w:szCs w:val="18"/>
        </w:rPr>
      </w:pPr>
      <w:r w:rsidRPr="00292852">
        <w:rPr>
          <w:color w:val="000000" w:themeColor="text1"/>
          <w:sz w:val="18"/>
          <w:szCs w:val="18"/>
        </w:rPr>
        <w:t>CFU = Colony Forming Unit</w:t>
      </w:r>
    </w:p>
    <w:p w14:paraId="3E76CA11" w14:textId="77777777" w:rsidR="009C1054" w:rsidRPr="00292852" w:rsidRDefault="009C1054" w:rsidP="009C1054">
      <w:pPr>
        <w:spacing w:line="280" w:lineRule="exact"/>
        <w:jc w:val="both"/>
        <w:rPr>
          <w:color w:val="000000" w:themeColor="text1"/>
          <w:sz w:val="22"/>
          <w:szCs w:val="22"/>
        </w:rPr>
      </w:pPr>
    </w:p>
    <w:p w14:paraId="35942C25" w14:textId="77777777" w:rsidR="008F3F20" w:rsidRPr="00292852" w:rsidRDefault="009C1054" w:rsidP="008F3F20">
      <w:pPr>
        <w:spacing w:after="0"/>
        <w:jc w:val="both"/>
        <w:rPr>
          <w:color w:val="000000" w:themeColor="text1"/>
          <w:sz w:val="22"/>
          <w:szCs w:val="22"/>
          <w:lang w:val="en-US"/>
        </w:rPr>
      </w:pPr>
      <w:r w:rsidRPr="00292852">
        <w:rPr>
          <w:b/>
          <w:bCs/>
          <w:color w:val="000000" w:themeColor="text1"/>
          <w:sz w:val="22"/>
          <w:szCs w:val="22"/>
          <w:lang w:val="en-US"/>
        </w:rPr>
        <w:t>Conclusion:</w:t>
      </w:r>
      <w:r w:rsidRPr="00292852">
        <w:rPr>
          <w:i/>
          <w:iCs/>
          <w:color w:val="000000" w:themeColor="text1"/>
          <w:sz w:val="22"/>
          <w:szCs w:val="22"/>
          <w:lang w:val="en-US"/>
        </w:rPr>
        <w:t xml:space="preserve"> </w:t>
      </w:r>
      <w:r w:rsidR="008F3F20" w:rsidRPr="00292852">
        <w:rPr>
          <w:i/>
          <w:iCs/>
          <w:color w:val="000000" w:themeColor="text1"/>
          <w:sz w:val="22"/>
          <w:szCs w:val="22"/>
          <w:lang w:val="en-US"/>
        </w:rPr>
        <w:t>Escherichia coli, Salmonella, Pseudomonas aeruginosa and Staphylococcus aureus</w:t>
      </w:r>
      <w:r w:rsidR="008F3F20" w:rsidRPr="00292852">
        <w:rPr>
          <w:color w:val="000000" w:themeColor="text1"/>
          <w:sz w:val="22"/>
          <w:szCs w:val="22"/>
          <w:lang w:val="en-US"/>
        </w:rPr>
        <w:t xml:space="preserve"> were not </w:t>
      </w:r>
    </w:p>
    <w:p w14:paraId="4179CC22" w14:textId="0E83770D" w:rsidR="000029D9" w:rsidRPr="008F3F20" w:rsidRDefault="008F3F20" w:rsidP="00F51DFC">
      <w:pPr>
        <w:spacing w:after="0"/>
        <w:jc w:val="both"/>
        <w:rPr>
          <w:sz w:val="22"/>
          <w:szCs w:val="22"/>
          <w:lang w:val="en-US"/>
        </w:rPr>
      </w:pPr>
      <w:r w:rsidRPr="00292852">
        <w:rPr>
          <w:color w:val="000000" w:themeColor="text1"/>
          <w:sz w:val="22"/>
          <w:szCs w:val="22"/>
          <w:lang w:val="en-US"/>
        </w:rPr>
        <w:t>detected in any of the test substance samples.</w:t>
      </w:r>
    </w:p>
    <w:p w14:paraId="3D7ED3B3" w14:textId="77777777" w:rsidR="000029D9" w:rsidRPr="00064659" w:rsidRDefault="000029D9" w:rsidP="00F51DFC">
      <w:pPr>
        <w:spacing w:after="0"/>
        <w:jc w:val="both"/>
        <w:rPr>
          <w:sz w:val="22"/>
          <w:szCs w:val="22"/>
        </w:rPr>
      </w:pPr>
    </w:p>
    <w:p w14:paraId="53797782" w14:textId="77777777" w:rsidR="00F51DFC" w:rsidRPr="00064659" w:rsidRDefault="00F51DFC" w:rsidP="00F51DFC">
      <w:pPr>
        <w:pStyle w:val="OECD-HeadLine1"/>
      </w:pPr>
      <w:bookmarkStart w:id="29" w:name="_Toc142473976"/>
      <w:r w:rsidRPr="00064659">
        <w:t>IIIM 5.1.5</w:t>
      </w:r>
      <w:r w:rsidRPr="00064659">
        <w:tab/>
      </w:r>
      <w:bookmarkEnd w:id="24"/>
      <w:bookmarkEnd w:id="25"/>
      <w:r w:rsidRPr="00064659">
        <w:t>Methods to show control to a specified and acceptable level, of microbial impurities and of any other impurities of toxicological concern, including toxic metabolites, which are known or suspected to be present at any stage of the manufacturing process</w:t>
      </w:r>
      <w:bookmarkEnd w:id="29"/>
    </w:p>
    <w:p w14:paraId="75EA9455" w14:textId="386FAC24" w:rsidR="00F51DFC" w:rsidRPr="00064659" w:rsidRDefault="00F51DFC" w:rsidP="00F51DFC">
      <w:pPr>
        <w:pStyle w:val="OECD-BASIS-TEXT"/>
        <w:tabs>
          <w:tab w:val="clear" w:pos="720"/>
        </w:tabs>
        <w:spacing w:line="240" w:lineRule="auto"/>
        <w:rPr>
          <w:color w:val="auto"/>
        </w:rPr>
      </w:pPr>
      <w:bookmarkStart w:id="30" w:name="_Hlk74558872"/>
      <w:bookmarkStart w:id="31" w:name="_Toc110674025"/>
      <w:bookmarkStart w:id="32" w:name="_Toc235957057"/>
      <w:r w:rsidRPr="605A97F6">
        <w:rPr>
          <w:color w:val="auto"/>
        </w:rPr>
        <w:t>Methods described in IIIM 5.1.</w:t>
      </w:r>
      <w:r w:rsidR="00A74A2D" w:rsidRPr="605A97F6">
        <w:rPr>
          <w:color w:val="auto"/>
        </w:rPr>
        <w:t>4</w:t>
      </w:r>
      <w:r w:rsidRPr="605A97F6">
        <w:rPr>
          <w:color w:val="auto"/>
        </w:rPr>
        <w:t xml:space="preserve"> above are suitable for ensuring microbial impurities in </w:t>
      </w:r>
      <w:r>
        <w:t>Foray</w:t>
      </w:r>
      <w:r w:rsidR="00A74A2D" w:rsidRPr="605A97F6">
        <w:rPr>
          <w:vertAlign w:val="superscript"/>
        </w:rPr>
        <w:t>®</w:t>
      </w:r>
      <w:r w:rsidR="00064659">
        <w:t xml:space="preserve"> 76</w:t>
      </w:r>
      <w:r>
        <w:t>B</w:t>
      </w:r>
      <w:r w:rsidRPr="605A97F6">
        <w:rPr>
          <w:color w:val="auto"/>
        </w:rPr>
        <w:t xml:space="preserve"> are at an acceptable level. For other impurities such as </w:t>
      </w:r>
      <w:bookmarkStart w:id="33" w:name="_Hlk63347555"/>
      <w:r w:rsidRPr="605A97F6">
        <w:rPr>
          <w:color w:val="auto"/>
        </w:rPr>
        <w:t xml:space="preserve">β-exotoxin and enterotoxins </w:t>
      </w:r>
      <w:bookmarkEnd w:id="33"/>
      <w:r w:rsidRPr="605A97F6">
        <w:rPr>
          <w:color w:val="auto"/>
        </w:rPr>
        <w:t xml:space="preserve">potentially produced by </w:t>
      </w:r>
      <w:r w:rsidRPr="605A97F6">
        <w:rPr>
          <w:i/>
          <w:iCs/>
          <w:color w:val="auto"/>
        </w:rPr>
        <w:t>B. thuringiensis</w:t>
      </w:r>
      <w:r w:rsidRPr="605A97F6">
        <w:rPr>
          <w:color w:val="auto"/>
        </w:rPr>
        <w:t xml:space="preserve">, the methods described in Part C IIIM 5.1.5 are applicable. </w:t>
      </w:r>
      <w:bookmarkStart w:id="34" w:name="_Hlk63347679"/>
      <w:r w:rsidRPr="605A97F6">
        <w:rPr>
          <w:color w:val="auto"/>
        </w:rPr>
        <w:t xml:space="preserve">All studies have been evaluated during the EU review phase of </w:t>
      </w:r>
      <w:bookmarkStart w:id="35" w:name="_Hlk110517960"/>
      <w:bookmarkStart w:id="36" w:name="_Hlk104650810"/>
      <w:r w:rsidRPr="605A97F6">
        <w:rPr>
          <w:i/>
          <w:iCs/>
          <w:color w:val="auto"/>
        </w:rPr>
        <w:t xml:space="preserve">B. thuringiensis </w:t>
      </w:r>
      <w:r w:rsidRPr="605A97F6">
        <w:rPr>
          <w:color w:val="auto"/>
        </w:rPr>
        <w:t xml:space="preserve">subsp. </w:t>
      </w:r>
      <w:r w:rsidRPr="605A97F6">
        <w:rPr>
          <w:i/>
          <w:iCs/>
        </w:rPr>
        <w:t xml:space="preserve">kurstaki </w:t>
      </w:r>
      <w:bookmarkEnd w:id="35"/>
      <w:r>
        <w:t>strain ABTS-351</w:t>
      </w:r>
      <w:bookmarkEnd w:id="36"/>
      <w:r w:rsidRPr="605A97F6">
        <w:rPr>
          <w:color w:val="auto"/>
        </w:rPr>
        <w:t>/DiPel</w:t>
      </w:r>
      <w:r w:rsidR="0F4BA968" w:rsidRPr="605A97F6">
        <w:rPr>
          <w:vertAlign w:val="superscript"/>
        </w:rPr>
        <w:t>®</w:t>
      </w:r>
      <w:r w:rsidRPr="605A97F6">
        <w:rPr>
          <w:color w:val="auto"/>
        </w:rPr>
        <w:t xml:space="preserve"> DF and were considered adequate.</w:t>
      </w:r>
    </w:p>
    <w:bookmarkEnd w:id="34"/>
    <w:p w14:paraId="4349867A" w14:textId="77777777" w:rsidR="00F51DFC" w:rsidRPr="00064659" w:rsidRDefault="00F51DFC" w:rsidP="00F51DFC">
      <w:pPr>
        <w:spacing w:after="0"/>
        <w:jc w:val="both"/>
        <w:rPr>
          <w:sz w:val="22"/>
          <w:szCs w:val="22"/>
        </w:rPr>
      </w:pPr>
    </w:p>
    <w:p w14:paraId="76B8CB10" w14:textId="77777777" w:rsidR="00F51DFC" w:rsidRPr="00064659" w:rsidRDefault="00F51DFC" w:rsidP="00F51DFC">
      <w:pPr>
        <w:spacing w:after="0"/>
        <w:jc w:val="both"/>
        <w:rPr>
          <w:sz w:val="22"/>
          <w:szCs w:val="22"/>
        </w:rPr>
      </w:pPr>
      <w:r w:rsidRPr="00064659">
        <w:rPr>
          <w:rFonts w:eastAsia="Calibri"/>
          <w:sz w:val="22"/>
          <w:szCs w:val="22"/>
          <w:lang w:eastAsia="de-DE"/>
        </w:rPr>
        <w:t>The methods that exist to identify</w:t>
      </w:r>
      <w:r w:rsidRPr="00064659">
        <w:rPr>
          <w:sz w:val="22"/>
          <w:szCs w:val="22"/>
        </w:rPr>
        <w:t xml:space="preserve"> enterotoxins and β-exotoxins summarised lack full validation, however, as none of the non-microbial impurities listed are considered as relevant full validation is not considered necessary at present.</w:t>
      </w:r>
      <w:bookmarkEnd w:id="30"/>
    </w:p>
    <w:p w14:paraId="2A530F5D" w14:textId="77777777" w:rsidR="00F51DFC" w:rsidRPr="00D97395" w:rsidRDefault="00F51DFC" w:rsidP="00F51DFC">
      <w:pPr>
        <w:pStyle w:val="OECD-HeadLine1"/>
      </w:pPr>
      <w:bookmarkStart w:id="37" w:name="_Toc142473977"/>
      <w:r w:rsidRPr="00064659">
        <w:t>IIIM 5.1.6</w:t>
      </w:r>
      <w:r w:rsidRPr="00064659">
        <w:tab/>
      </w:r>
      <w:bookmarkEnd w:id="31"/>
      <w:bookmarkEnd w:id="32"/>
      <w:r w:rsidRPr="00064659">
        <w:t xml:space="preserve">Methods to show presence of any human </w:t>
      </w:r>
      <w:r w:rsidRPr="00D97395">
        <w:t>and mammalian pathogens</w:t>
      </w:r>
      <w:bookmarkEnd w:id="37"/>
    </w:p>
    <w:p w14:paraId="4F8121A6" w14:textId="58368C4A" w:rsidR="00F51DFC" w:rsidRPr="00D97395" w:rsidRDefault="00F51DFC" w:rsidP="00F51DFC">
      <w:pPr>
        <w:spacing w:after="0"/>
        <w:jc w:val="both"/>
        <w:rPr>
          <w:bCs/>
          <w:sz w:val="22"/>
          <w:szCs w:val="22"/>
        </w:rPr>
      </w:pPr>
      <w:bookmarkStart w:id="38" w:name="_Hlk76994803"/>
      <w:bookmarkStart w:id="39" w:name="_Toc110674026"/>
      <w:r w:rsidRPr="00D97395">
        <w:rPr>
          <w:bCs/>
          <w:sz w:val="22"/>
          <w:szCs w:val="22"/>
        </w:rPr>
        <w:t>Methods described in Part C IIIM 5.1.3</w:t>
      </w:r>
      <w:r w:rsidR="00A74A2D">
        <w:rPr>
          <w:bCs/>
          <w:sz w:val="22"/>
          <w:szCs w:val="22"/>
        </w:rPr>
        <w:t>/01</w:t>
      </w:r>
      <w:r w:rsidRPr="00D97395">
        <w:rPr>
          <w:bCs/>
          <w:sz w:val="22"/>
          <w:szCs w:val="22"/>
        </w:rPr>
        <w:t xml:space="preserve"> and</w:t>
      </w:r>
      <w:r w:rsidRPr="00D97395">
        <w:rPr>
          <w:sz w:val="22"/>
          <w:szCs w:val="22"/>
        </w:rPr>
        <w:t xml:space="preserve"> Part C </w:t>
      </w:r>
      <w:r w:rsidR="00064659" w:rsidRPr="00D97395">
        <w:rPr>
          <w:sz w:val="22"/>
          <w:szCs w:val="22"/>
        </w:rPr>
        <w:t>IIIM 1.7.2.3</w:t>
      </w:r>
      <w:r w:rsidR="00A74A2D">
        <w:rPr>
          <w:sz w:val="22"/>
          <w:szCs w:val="22"/>
        </w:rPr>
        <w:t>/01</w:t>
      </w:r>
      <w:r w:rsidR="00064659" w:rsidRPr="00D97395">
        <w:rPr>
          <w:sz w:val="22"/>
          <w:szCs w:val="22"/>
        </w:rPr>
        <w:t xml:space="preserve"> </w:t>
      </w:r>
      <w:r w:rsidRPr="00D97395">
        <w:rPr>
          <w:bCs/>
          <w:sz w:val="22"/>
          <w:szCs w:val="22"/>
        </w:rPr>
        <w:t xml:space="preserve">can be used to demonstrate the presence of human and mammalian pathogens in </w:t>
      </w:r>
      <w:r w:rsidRPr="00840915">
        <w:rPr>
          <w:bCs/>
          <w:sz w:val="22"/>
          <w:szCs w:val="22"/>
        </w:rPr>
        <w:t>Foray</w:t>
      </w:r>
      <w:r w:rsidR="00840915" w:rsidRPr="00840915">
        <w:rPr>
          <w:sz w:val="22"/>
          <w:szCs w:val="22"/>
          <w:vertAlign w:val="superscript"/>
        </w:rPr>
        <w:t>®</w:t>
      </w:r>
      <w:r w:rsidR="00064659" w:rsidRPr="00840915">
        <w:rPr>
          <w:bCs/>
          <w:sz w:val="22"/>
          <w:szCs w:val="22"/>
        </w:rPr>
        <w:t xml:space="preserve"> 76</w:t>
      </w:r>
      <w:r w:rsidRPr="00840915">
        <w:rPr>
          <w:bCs/>
          <w:sz w:val="22"/>
          <w:szCs w:val="22"/>
        </w:rPr>
        <w:t>B</w:t>
      </w:r>
      <w:r w:rsidRPr="00D97395">
        <w:rPr>
          <w:bCs/>
          <w:sz w:val="22"/>
          <w:szCs w:val="22"/>
        </w:rPr>
        <w:t xml:space="preserve">. </w:t>
      </w:r>
      <w:r w:rsidRPr="00D97395">
        <w:rPr>
          <w:sz w:val="22"/>
          <w:szCs w:val="22"/>
        </w:rPr>
        <w:t>Human and mammalian pathogens considered are based on the OECD Issue Paper on Microbial Contaminant Limits for Microbial Pest Control Products (ENV/JM/MONO(2011)43). The methods are standard microbiological techniques which can be used to show the presence of the considered microbial pathogens in any microbial pest control product.</w:t>
      </w:r>
      <w:bookmarkEnd w:id="38"/>
    </w:p>
    <w:p w14:paraId="27F4C65B" w14:textId="7EE06714" w:rsidR="00F51DFC" w:rsidRDefault="00F51DFC" w:rsidP="00F51DFC">
      <w:pPr>
        <w:pStyle w:val="OECD-HeadLine1"/>
      </w:pPr>
      <w:bookmarkStart w:id="40" w:name="_Toc142473978"/>
      <w:r w:rsidRPr="00D97395">
        <w:t>IIIM 5.2</w:t>
      </w:r>
      <w:r w:rsidRPr="00D97395">
        <w:tab/>
      </w:r>
      <w:bookmarkEnd w:id="39"/>
      <w:r w:rsidRPr="00D97395">
        <w:t>Storage stability test and determination of shelf life (methods of analysis)</w:t>
      </w:r>
      <w:bookmarkEnd w:id="40"/>
    </w:p>
    <w:p w14:paraId="04BC247E" w14:textId="27E482BC" w:rsidR="00356A4F" w:rsidRDefault="00216E43" w:rsidP="00C208BC">
      <w:pPr>
        <w:jc w:val="both"/>
        <w:rPr>
          <w:sz w:val="22"/>
          <w:szCs w:val="22"/>
        </w:rPr>
      </w:pPr>
      <w:r w:rsidRPr="009B6A40">
        <w:rPr>
          <w:sz w:val="22"/>
          <w:szCs w:val="22"/>
        </w:rPr>
        <w:t xml:space="preserve">The storage </w:t>
      </w:r>
      <w:r w:rsidR="00E553B4" w:rsidRPr="009B6A40">
        <w:rPr>
          <w:sz w:val="22"/>
          <w:szCs w:val="22"/>
        </w:rPr>
        <w:t>stability study (Comb, 20212) for Foray</w:t>
      </w:r>
      <w:r w:rsidR="00E553B4" w:rsidRPr="009B6A40">
        <w:rPr>
          <w:sz w:val="22"/>
          <w:szCs w:val="22"/>
          <w:vertAlign w:val="superscript"/>
        </w:rPr>
        <w:t>®</w:t>
      </w:r>
      <w:r w:rsidR="00E553B4" w:rsidRPr="009B6A40">
        <w:rPr>
          <w:sz w:val="22"/>
          <w:szCs w:val="22"/>
        </w:rPr>
        <w:t xml:space="preserve"> 76B determines the activity of the product </w:t>
      </w:r>
      <w:r w:rsidR="00212C0A" w:rsidRPr="009B6A40">
        <w:rPr>
          <w:sz w:val="22"/>
          <w:szCs w:val="22"/>
        </w:rPr>
        <w:t xml:space="preserve">based on a </w:t>
      </w:r>
      <w:r w:rsidR="006741F2" w:rsidRPr="009B6A40">
        <w:rPr>
          <w:sz w:val="22"/>
          <w:szCs w:val="22"/>
        </w:rPr>
        <w:t>biopotency</w:t>
      </w:r>
      <w:r w:rsidR="00ED27EF" w:rsidRPr="009B6A40">
        <w:rPr>
          <w:sz w:val="22"/>
          <w:szCs w:val="22"/>
        </w:rPr>
        <w:t>. This method is suitable for determin</w:t>
      </w:r>
      <w:r w:rsidR="00F1703E" w:rsidRPr="009B6A40">
        <w:rPr>
          <w:sz w:val="22"/>
          <w:szCs w:val="22"/>
        </w:rPr>
        <w:t xml:space="preserve">ing the shelf-life of the product. Details of the methodology is </w:t>
      </w:r>
      <w:r w:rsidR="00C208BC" w:rsidRPr="009B6A40">
        <w:rPr>
          <w:sz w:val="22"/>
          <w:szCs w:val="22"/>
        </w:rPr>
        <w:t>provided in IIIM 5.1.1/01 above and Part C (IIIM 1.7.1//02 and IIIM 5.1.1/05).</w:t>
      </w:r>
    </w:p>
    <w:p w14:paraId="2F9FA1BB" w14:textId="77777777" w:rsidR="00F51DFC" w:rsidRPr="00D97395" w:rsidRDefault="00F51DFC" w:rsidP="00F51DFC">
      <w:pPr>
        <w:pStyle w:val="OECD-HeadLine1"/>
      </w:pPr>
      <w:bookmarkStart w:id="41" w:name="_Toc110674027"/>
      <w:bookmarkStart w:id="42" w:name="_Toc235957059"/>
      <w:bookmarkStart w:id="43" w:name="_Toc142473979"/>
      <w:r w:rsidRPr="00D97395">
        <w:t>IIIM 5.3</w:t>
      </w:r>
      <w:r w:rsidRPr="00D97395">
        <w:tab/>
      </w:r>
      <w:bookmarkEnd w:id="41"/>
      <w:bookmarkEnd w:id="42"/>
      <w:r w:rsidRPr="00D97395">
        <w:t>Production process for MPCP, describing techniques used to ensure a uniform product and procedures when hazardous contamination is detected in a batch. List starting and intermediate materials, with source and purity of each</w:t>
      </w:r>
      <w:bookmarkEnd w:id="43"/>
    </w:p>
    <w:p w14:paraId="1A0C507D" w14:textId="77777777" w:rsidR="00F51DFC" w:rsidRPr="00D97395" w:rsidRDefault="00F51DFC" w:rsidP="00F51DFC">
      <w:pPr>
        <w:spacing w:after="0" w:line="280" w:lineRule="exact"/>
        <w:jc w:val="both"/>
      </w:pPr>
      <w:bookmarkStart w:id="44" w:name="_Hlk109379933"/>
      <w:bookmarkStart w:id="45" w:name="_Toc110674028"/>
      <w:bookmarkStart w:id="46" w:name="_Toc235957060"/>
      <w:r w:rsidRPr="00D97395">
        <w:rPr>
          <w:rFonts w:eastAsia="Calibri"/>
          <w:color w:val="000000"/>
          <w:sz w:val="22"/>
          <w:szCs w:val="22"/>
        </w:rPr>
        <w:t>The production process for the MPCP is described in Part C under IIIM 5.3.</w:t>
      </w:r>
    </w:p>
    <w:p w14:paraId="65787ECF" w14:textId="77777777" w:rsidR="00F51DFC" w:rsidRPr="00D97395" w:rsidRDefault="00F51DFC" w:rsidP="003D2421">
      <w:pPr>
        <w:pStyle w:val="OECD-HeadLine1"/>
        <w:keepNext/>
        <w:keepLines/>
        <w:widowControl/>
        <w:suppressAutoHyphens/>
      </w:pPr>
      <w:bookmarkStart w:id="47" w:name="_Toc142473980"/>
      <w:bookmarkEnd w:id="44"/>
      <w:r w:rsidRPr="00D97395">
        <w:lastRenderedPageBreak/>
        <w:t>IIIM 5.4</w:t>
      </w:r>
      <w:r w:rsidRPr="00D97395">
        <w:tab/>
      </w:r>
      <w:bookmarkEnd w:id="45"/>
      <w:bookmarkEnd w:id="46"/>
      <w:r w:rsidRPr="00D97395">
        <w:t>Method for determination of residues</w:t>
      </w:r>
      <w:bookmarkEnd w:id="47"/>
    </w:p>
    <w:p w14:paraId="5DA0E9DB" w14:textId="5012FE41" w:rsidR="00E36B9A" w:rsidRPr="002754D8" w:rsidRDefault="000B373F" w:rsidP="003D2421">
      <w:pPr>
        <w:keepNext/>
        <w:keepLines/>
        <w:tabs>
          <w:tab w:val="clear" w:pos="720"/>
        </w:tabs>
        <w:suppressAutoHyphens/>
        <w:spacing w:after="120"/>
        <w:jc w:val="both"/>
        <w:rPr>
          <w:sz w:val="22"/>
          <w:szCs w:val="22"/>
        </w:rPr>
      </w:pPr>
      <w:r w:rsidRPr="002754D8">
        <w:rPr>
          <w:sz w:val="22"/>
          <w:szCs w:val="22"/>
          <w:lang w:val="en-US"/>
        </w:rPr>
        <w:t>The proposed uses of Foray</w:t>
      </w:r>
      <w:r w:rsidRPr="002754D8">
        <w:rPr>
          <w:sz w:val="22"/>
          <w:szCs w:val="22"/>
          <w:vertAlign w:val="superscript"/>
          <w:lang w:val="en-US"/>
        </w:rPr>
        <w:t>®</w:t>
      </w:r>
      <w:r w:rsidRPr="002754D8">
        <w:rPr>
          <w:sz w:val="22"/>
          <w:szCs w:val="22"/>
          <w:lang w:val="en-US"/>
        </w:rPr>
        <w:t xml:space="preserve"> 76B (ABG-6431) are outdoor forestry uses </w:t>
      </w:r>
      <w:r w:rsidR="009D3A10" w:rsidRPr="00A95EF4">
        <w:rPr>
          <w:sz w:val="22"/>
          <w:szCs w:val="22"/>
        </w:rPr>
        <w:t>on deciduous and coniferous forest, pine trees, ornamental trees and shrubs or amenity areas (parks, gardens)</w:t>
      </w:r>
      <w:r w:rsidRPr="002754D8">
        <w:rPr>
          <w:sz w:val="22"/>
          <w:szCs w:val="22"/>
          <w:lang w:val="en-US"/>
        </w:rPr>
        <w:t xml:space="preserve"> only, which do not form part of human and livestock diets</w:t>
      </w:r>
      <w:r w:rsidR="00E36B9A" w:rsidRPr="002754D8">
        <w:rPr>
          <w:sz w:val="22"/>
          <w:szCs w:val="22"/>
          <w:lang w:val="en-US"/>
        </w:rPr>
        <w:t xml:space="preserve">. </w:t>
      </w:r>
      <w:r w:rsidR="00E36B9A" w:rsidRPr="002754D8">
        <w:rPr>
          <w:sz w:val="22"/>
          <w:szCs w:val="22"/>
        </w:rPr>
        <w:t>Therefore, assessments of the persistence and likelihood of multiplication in or on crops, feeding stuffs or foodstuffs, and further information on non-viable and viable residues are not required or presented.</w:t>
      </w:r>
    </w:p>
    <w:p w14:paraId="01385B91" w14:textId="5FE6C69C" w:rsidR="00E36B9A" w:rsidRPr="002754D8" w:rsidRDefault="00E36B9A" w:rsidP="00BB4BF0">
      <w:pPr>
        <w:tabs>
          <w:tab w:val="clear" w:pos="720"/>
        </w:tabs>
        <w:spacing w:after="0"/>
        <w:jc w:val="both"/>
        <w:rPr>
          <w:sz w:val="22"/>
          <w:szCs w:val="22"/>
          <w:lang w:val="en-US"/>
        </w:rPr>
      </w:pPr>
      <w:r w:rsidRPr="002754D8">
        <w:rPr>
          <w:sz w:val="22"/>
          <w:szCs w:val="22"/>
        </w:rPr>
        <w:t>T</w:t>
      </w:r>
      <w:r w:rsidRPr="002754D8">
        <w:rPr>
          <w:sz w:val="22"/>
          <w:szCs w:val="22"/>
          <w:lang w:val="en-US"/>
        </w:rPr>
        <w:t xml:space="preserve">here is no potential route of dietary exposure to viable and non-viable residues of </w:t>
      </w:r>
      <w:r w:rsidRPr="002754D8">
        <w:rPr>
          <w:i/>
          <w:iCs/>
          <w:sz w:val="22"/>
          <w:szCs w:val="22"/>
          <w:lang w:val="en-US"/>
        </w:rPr>
        <w:t xml:space="preserve">Bacillus thuringiensis </w:t>
      </w:r>
      <w:r w:rsidRPr="002754D8">
        <w:rPr>
          <w:sz w:val="22"/>
          <w:szCs w:val="22"/>
          <w:lang w:val="en-US"/>
        </w:rPr>
        <w:t>subsp.</w:t>
      </w:r>
      <w:r w:rsidRPr="002754D8">
        <w:rPr>
          <w:i/>
          <w:iCs/>
          <w:sz w:val="22"/>
          <w:szCs w:val="22"/>
          <w:lang w:val="en-US"/>
        </w:rPr>
        <w:t xml:space="preserve"> kurstaki</w:t>
      </w:r>
      <w:r w:rsidRPr="002754D8">
        <w:rPr>
          <w:sz w:val="22"/>
          <w:szCs w:val="22"/>
          <w:lang w:val="en-US"/>
        </w:rPr>
        <w:t xml:space="preserve"> strain ABTS-351 from the proposed uses of Foray</w:t>
      </w:r>
      <w:r w:rsidRPr="002754D8">
        <w:rPr>
          <w:sz w:val="22"/>
          <w:szCs w:val="22"/>
          <w:vertAlign w:val="superscript"/>
          <w:lang w:val="en-US"/>
        </w:rPr>
        <w:t>®</w:t>
      </w:r>
      <w:r w:rsidRPr="002754D8">
        <w:rPr>
          <w:sz w:val="22"/>
          <w:szCs w:val="22"/>
          <w:lang w:val="en-US"/>
        </w:rPr>
        <w:t xml:space="preserve"> 76B (ABG-6431) and no specific mitigation measures are required.</w:t>
      </w:r>
    </w:p>
    <w:p w14:paraId="6A1D7774" w14:textId="77777777" w:rsidR="00E36B9A" w:rsidRPr="002754D8" w:rsidRDefault="00E36B9A" w:rsidP="00E36B9A">
      <w:pPr>
        <w:spacing w:after="0"/>
        <w:jc w:val="both"/>
        <w:rPr>
          <w:sz w:val="22"/>
          <w:szCs w:val="22"/>
        </w:rPr>
      </w:pPr>
    </w:p>
    <w:p w14:paraId="077C9CAC" w14:textId="7523D758" w:rsidR="00E36B9A" w:rsidRPr="002754D8" w:rsidRDefault="00E36B9A" w:rsidP="00E36B9A">
      <w:pPr>
        <w:spacing w:after="0"/>
        <w:jc w:val="both"/>
        <w:rPr>
          <w:sz w:val="22"/>
          <w:szCs w:val="22"/>
        </w:rPr>
      </w:pPr>
      <w:r w:rsidRPr="002754D8">
        <w:rPr>
          <w:sz w:val="22"/>
          <w:szCs w:val="22"/>
        </w:rPr>
        <w:t>Although the use of Foray</w:t>
      </w:r>
      <w:r w:rsidRPr="002754D8">
        <w:rPr>
          <w:sz w:val="22"/>
          <w:szCs w:val="22"/>
          <w:vertAlign w:val="superscript"/>
        </w:rPr>
        <w:t>®</w:t>
      </w:r>
      <w:r w:rsidRPr="002754D8">
        <w:rPr>
          <w:sz w:val="22"/>
          <w:szCs w:val="22"/>
        </w:rPr>
        <w:t xml:space="preserve"> 76B is not anticipated to be used on edible crops, a combination of techniques for identification and detection is described under IIIM 5.1.1 and IIIM 5.1.3. For example, the Total Viable Count method (described in Part C,</w:t>
      </w:r>
      <w:r w:rsidRPr="002754D8">
        <w:t xml:space="preserve"> </w:t>
      </w:r>
      <w:r w:rsidRPr="002754D8">
        <w:rPr>
          <w:sz w:val="22"/>
          <w:szCs w:val="22"/>
        </w:rPr>
        <w:t xml:space="preserve">IIIM 5.1.3/01), and qPCR method (van der Vossen </w:t>
      </w:r>
      <w:r w:rsidRPr="002754D8">
        <w:rPr>
          <w:i/>
          <w:iCs/>
          <w:sz w:val="22"/>
          <w:szCs w:val="22"/>
        </w:rPr>
        <w:t>et al.</w:t>
      </w:r>
      <w:r w:rsidRPr="002754D8">
        <w:rPr>
          <w:sz w:val="22"/>
          <w:szCs w:val="22"/>
        </w:rPr>
        <w:t xml:space="preserve">, 2015), described in Part C III 5.1.1/03 may be used to enumerate the quantity of </w:t>
      </w:r>
      <w:r w:rsidRPr="002754D8">
        <w:rPr>
          <w:i/>
          <w:iCs/>
          <w:sz w:val="22"/>
          <w:szCs w:val="22"/>
        </w:rPr>
        <w:t>B. thuringiensis</w:t>
      </w:r>
      <w:r w:rsidRPr="002754D8">
        <w:rPr>
          <w:sz w:val="22"/>
          <w:szCs w:val="22"/>
        </w:rPr>
        <w:t xml:space="preserve"> subsp. </w:t>
      </w:r>
      <w:r w:rsidRPr="002754D8">
        <w:rPr>
          <w:i/>
          <w:iCs/>
          <w:sz w:val="22"/>
          <w:szCs w:val="22"/>
        </w:rPr>
        <w:t>kurstaki</w:t>
      </w:r>
      <w:r w:rsidRPr="002754D8">
        <w:rPr>
          <w:sz w:val="22"/>
          <w:szCs w:val="22"/>
        </w:rPr>
        <w:t xml:space="preserve"> strain ABTS-351 cells in other environments.</w:t>
      </w:r>
    </w:p>
    <w:p w14:paraId="52933745" w14:textId="77777777" w:rsidR="00E36B9A" w:rsidRPr="002754D8" w:rsidRDefault="00E36B9A" w:rsidP="00E36B9A">
      <w:pPr>
        <w:spacing w:after="0"/>
        <w:jc w:val="both"/>
        <w:rPr>
          <w:sz w:val="22"/>
          <w:szCs w:val="22"/>
        </w:rPr>
      </w:pPr>
    </w:p>
    <w:p w14:paraId="6E85A7DB" w14:textId="77777777" w:rsidR="00357ECC" w:rsidRDefault="00E36B9A" w:rsidP="002754D8">
      <w:pPr>
        <w:jc w:val="both"/>
        <w:rPr>
          <w:sz w:val="22"/>
          <w:szCs w:val="22"/>
        </w:rPr>
      </w:pPr>
      <w:r w:rsidRPr="002754D8">
        <w:rPr>
          <w:sz w:val="22"/>
          <w:szCs w:val="22"/>
        </w:rPr>
        <w:t>No monitoring methods for the metabolites are deemed necessary as no residue definition or MRLs is currently set for the metabolites.</w:t>
      </w:r>
    </w:p>
    <w:p w14:paraId="2517DF11" w14:textId="77777777" w:rsidR="00C7032B" w:rsidRDefault="00C7032B" w:rsidP="002754D8">
      <w:pPr>
        <w:jc w:val="both"/>
        <w:rPr>
          <w:sz w:val="22"/>
          <w:szCs w:val="22"/>
        </w:rPr>
      </w:pPr>
    </w:p>
    <w:p w14:paraId="5471E91E" w14:textId="25E43EDE" w:rsidR="00357ECC" w:rsidRDefault="000B1192" w:rsidP="00357ECC">
      <w:pPr>
        <w:shd w:val="clear" w:color="auto" w:fill="D9D9D9" w:themeFill="background1" w:themeFillShade="D9"/>
        <w:spacing w:after="0"/>
        <w:jc w:val="both"/>
        <w:rPr>
          <w:sz w:val="22"/>
          <w:szCs w:val="22"/>
        </w:rPr>
      </w:pPr>
      <w:bookmarkStart w:id="48" w:name="_Hlk161588045"/>
      <w:r>
        <w:rPr>
          <w:b/>
          <w:bCs/>
          <w:sz w:val="22"/>
          <w:szCs w:val="22"/>
        </w:rPr>
        <w:t>Evaluator</w:t>
      </w:r>
      <w:r w:rsidR="00357ECC">
        <w:rPr>
          <w:sz w:val="22"/>
          <w:szCs w:val="22"/>
        </w:rPr>
        <w:t>: The dRR is accepted.</w:t>
      </w:r>
    </w:p>
    <w:p w14:paraId="30DD5FB2" w14:textId="04DE6A5F" w:rsidR="00357ECC" w:rsidRDefault="00357ECC" w:rsidP="00357ECC">
      <w:pPr>
        <w:shd w:val="clear" w:color="auto" w:fill="D9D9D9" w:themeFill="background1" w:themeFillShade="D9"/>
        <w:spacing w:after="0"/>
        <w:jc w:val="both"/>
        <w:rPr>
          <w:sz w:val="22"/>
          <w:szCs w:val="22"/>
        </w:rPr>
      </w:pPr>
      <w:r>
        <w:rPr>
          <w:sz w:val="22"/>
          <w:szCs w:val="22"/>
        </w:rPr>
        <w:t>In the future the dossier should be definitely submitted on new dRR templates (Section 5 instead of Section 2)</w:t>
      </w:r>
    </w:p>
    <w:bookmarkEnd w:id="48"/>
    <w:p w14:paraId="6C5F242D" w14:textId="3109018F" w:rsidR="605A97F6" w:rsidRPr="002754D8" w:rsidRDefault="605A97F6" w:rsidP="00357ECC">
      <w:pPr>
        <w:rPr>
          <w:sz w:val="22"/>
          <w:szCs w:val="22"/>
        </w:rPr>
      </w:pPr>
      <w:r>
        <w:br w:type="page"/>
      </w:r>
    </w:p>
    <w:p w14:paraId="5D6B0D1B" w14:textId="5A6472B7" w:rsidR="00F51DFC" w:rsidRPr="00D97395" w:rsidRDefault="00F51DFC" w:rsidP="605A97F6">
      <w:pPr>
        <w:pStyle w:val="OECD-HeadLine1"/>
        <w:rPr>
          <w:highlight w:val="yellow"/>
        </w:rPr>
      </w:pPr>
      <w:bookmarkStart w:id="49" w:name="_Toc208799233"/>
      <w:bookmarkStart w:id="50" w:name="_Toc235957070"/>
      <w:bookmarkStart w:id="51" w:name="_Toc142473981"/>
      <w:r>
        <w:lastRenderedPageBreak/>
        <w:t>Appendix 1 – List of data submitted in support of the evaluation</w:t>
      </w:r>
      <w:bookmarkEnd w:id="49"/>
      <w:bookmarkEnd w:id="50"/>
      <w:bookmarkEnd w:id="51"/>
    </w:p>
    <w:tbl>
      <w:tblPr>
        <w:tblW w:w="98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316"/>
        <w:gridCol w:w="1646"/>
        <w:gridCol w:w="900"/>
        <w:gridCol w:w="3420"/>
        <w:gridCol w:w="1350"/>
        <w:gridCol w:w="1247"/>
      </w:tblGrid>
      <w:tr w:rsidR="00F51DFC" w:rsidRPr="00D97395" w14:paraId="2C8B222E" w14:textId="77777777" w:rsidTr="00C7032B">
        <w:trPr>
          <w:cantSplit/>
          <w:trHeight w:val="1463"/>
          <w:tblHeader/>
        </w:trPr>
        <w:tc>
          <w:tcPr>
            <w:tcW w:w="1316" w:type="dxa"/>
            <w:vAlign w:val="center"/>
          </w:tcPr>
          <w:p w14:paraId="4499A42F" w14:textId="70BADDC1" w:rsidR="00F51DFC" w:rsidRPr="00EE27EB" w:rsidRDefault="00F51DFC" w:rsidP="00C7032B">
            <w:pPr>
              <w:keepNext/>
              <w:keepLines/>
              <w:spacing w:after="0"/>
              <w:jc w:val="center"/>
              <w:rPr>
                <w:b/>
                <w:sz w:val="18"/>
                <w:szCs w:val="18"/>
              </w:rPr>
            </w:pPr>
            <w:bookmarkStart w:id="52" w:name="_Hlk127285468"/>
            <w:r w:rsidRPr="00EE27EB">
              <w:rPr>
                <w:b/>
                <w:sz w:val="18"/>
                <w:szCs w:val="18"/>
              </w:rPr>
              <w:t>Annex</w:t>
            </w:r>
            <w:r w:rsidR="00364908" w:rsidRPr="00364908">
              <w:rPr>
                <w:b/>
                <w:sz w:val="18"/>
                <w:szCs w:val="18"/>
              </w:rPr>
              <w:t xml:space="preserve"> </w:t>
            </w:r>
            <w:r w:rsidRPr="00EE27EB">
              <w:rPr>
                <w:b/>
                <w:sz w:val="18"/>
                <w:szCs w:val="18"/>
              </w:rPr>
              <w:t>point</w:t>
            </w:r>
          </w:p>
        </w:tc>
        <w:tc>
          <w:tcPr>
            <w:tcW w:w="1646" w:type="dxa"/>
            <w:vAlign w:val="center"/>
          </w:tcPr>
          <w:p w14:paraId="553C881F" w14:textId="77777777" w:rsidR="00F51DFC" w:rsidRPr="00EE27EB" w:rsidRDefault="00F51DFC" w:rsidP="00C7032B">
            <w:pPr>
              <w:keepNext/>
              <w:keepLines/>
              <w:spacing w:after="0"/>
              <w:jc w:val="center"/>
              <w:rPr>
                <w:b/>
                <w:sz w:val="18"/>
                <w:szCs w:val="18"/>
              </w:rPr>
            </w:pPr>
            <w:r w:rsidRPr="00EE27EB">
              <w:rPr>
                <w:b/>
                <w:sz w:val="18"/>
                <w:szCs w:val="18"/>
              </w:rPr>
              <w:t>Author</w:t>
            </w:r>
          </w:p>
        </w:tc>
        <w:tc>
          <w:tcPr>
            <w:tcW w:w="900" w:type="dxa"/>
            <w:vAlign w:val="center"/>
          </w:tcPr>
          <w:p w14:paraId="0E3F006E" w14:textId="77777777" w:rsidR="00F51DFC" w:rsidRPr="00EE27EB" w:rsidRDefault="00F51DFC" w:rsidP="00C7032B">
            <w:pPr>
              <w:keepNext/>
              <w:keepLines/>
              <w:spacing w:after="0"/>
              <w:jc w:val="center"/>
              <w:rPr>
                <w:b/>
                <w:sz w:val="18"/>
                <w:szCs w:val="18"/>
              </w:rPr>
            </w:pPr>
            <w:r w:rsidRPr="00EE27EB">
              <w:rPr>
                <w:b/>
                <w:sz w:val="18"/>
                <w:szCs w:val="18"/>
              </w:rPr>
              <w:t>Year</w:t>
            </w:r>
          </w:p>
        </w:tc>
        <w:tc>
          <w:tcPr>
            <w:tcW w:w="3420" w:type="dxa"/>
            <w:vAlign w:val="center"/>
          </w:tcPr>
          <w:p w14:paraId="22003668" w14:textId="77777777" w:rsidR="00F51DFC" w:rsidRPr="00EE27EB" w:rsidRDefault="00F51DFC" w:rsidP="00C7032B">
            <w:pPr>
              <w:keepNext/>
              <w:keepLines/>
              <w:tabs>
                <w:tab w:val="left" w:pos="3060"/>
              </w:tabs>
              <w:spacing w:after="0"/>
              <w:jc w:val="center"/>
              <w:rPr>
                <w:b/>
                <w:sz w:val="18"/>
                <w:szCs w:val="18"/>
              </w:rPr>
            </w:pPr>
            <w:r w:rsidRPr="00EE27EB">
              <w:rPr>
                <w:b/>
                <w:sz w:val="18"/>
                <w:szCs w:val="18"/>
              </w:rPr>
              <w:t>Title</w:t>
            </w:r>
          </w:p>
          <w:p w14:paraId="7D340154" w14:textId="77777777" w:rsidR="00F51DFC" w:rsidRPr="00EE27EB" w:rsidRDefault="00F51DFC" w:rsidP="00C7032B">
            <w:pPr>
              <w:keepNext/>
              <w:keepLines/>
              <w:tabs>
                <w:tab w:val="left" w:pos="3060"/>
              </w:tabs>
              <w:spacing w:after="0"/>
              <w:jc w:val="center"/>
              <w:rPr>
                <w:b/>
                <w:sz w:val="18"/>
                <w:szCs w:val="18"/>
              </w:rPr>
            </w:pPr>
            <w:r w:rsidRPr="00EE27EB">
              <w:rPr>
                <w:b/>
                <w:sz w:val="18"/>
                <w:szCs w:val="18"/>
              </w:rPr>
              <w:t>Source (where different from company)</w:t>
            </w:r>
          </w:p>
          <w:p w14:paraId="4F23F3A4" w14:textId="77777777" w:rsidR="00F51DFC" w:rsidRPr="00EE27EB" w:rsidRDefault="00F51DFC" w:rsidP="00C7032B">
            <w:pPr>
              <w:keepNext/>
              <w:keepLines/>
              <w:tabs>
                <w:tab w:val="left" w:pos="3060"/>
              </w:tabs>
              <w:spacing w:after="0"/>
              <w:jc w:val="center"/>
              <w:rPr>
                <w:b/>
                <w:sz w:val="18"/>
                <w:szCs w:val="18"/>
              </w:rPr>
            </w:pPr>
            <w:r w:rsidRPr="00EE27EB">
              <w:rPr>
                <w:b/>
                <w:sz w:val="18"/>
                <w:szCs w:val="18"/>
              </w:rPr>
              <w:t>Company, Report No.</w:t>
            </w:r>
          </w:p>
          <w:p w14:paraId="3146CBCC" w14:textId="77777777" w:rsidR="00F51DFC" w:rsidRPr="00EE27EB" w:rsidRDefault="00F51DFC" w:rsidP="00C7032B">
            <w:pPr>
              <w:keepNext/>
              <w:keepLines/>
              <w:tabs>
                <w:tab w:val="left" w:pos="3060"/>
              </w:tabs>
              <w:spacing w:after="0"/>
              <w:jc w:val="center"/>
              <w:rPr>
                <w:b/>
                <w:sz w:val="18"/>
                <w:szCs w:val="18"/>
              </w:rPr>
            </w:pPr>
            <w:r w:rsidRPr="00EE27EB">
              <w:rPr>
                <w:b/>
                <w:sz w:val="18"/>
                <w:szCs w:val="18"/>
              </w:rPr>
              <w:t>GLP or GEP status (where relevant)</w:t>
            </w:r>
          </w:p>
          <w:p w14:paraId="04051632" w14:textId="77777777" w:rsidR="00F51DFC" w:rsidRPr="00EE27EB" w:rsidRDefault="00F51DFC" w:rsidP="00C7032B">
            <w:pPr>
              <w:keepNext/>
              <w:keepLines/>
              <w:spacing w:after="0"/>
              <w:jc w:val="center"/>
              <w:rPr>
                <w:b/>
                <w:sz w:val="18"/>
                <w:szCs w:val="18"/>
              </w:rPr>
            </w:pPr>
            <w:r w:rsidRPr="00EE27EB">
              <w:rPr>
                <w:b/>
                <w:sz w:val="18"/>
                <w:szCs w:val="18"/>
              </w:rPr>
              <w:t>Published or Unpublished</w:t>
            </w:r>
          </w:p>
        </w:tc>
        <w:tc>
          <w:tcPr>
            <w:tcW w:w="1350" w:type="dxa"/>
            <w:vAlign w:val="center"/>
          </w:tcPr>
          <w:p w14:paraId="523141C6" w14:textId="77777777" w:rsidR="00F51DFC" w:rsidRPr="00EE27EB" w:rsidRDefault="00F51DFC" w:rsidP="00C7032B">
            <w:pPr>
              <w:keepNext/>
              <w:keepLines/>
              <w:spacing w:after="0"/>
              <w:jc w:val="center"/>
              <w:rPr>
                <w:b/>
                <w:sz w:val="18"/>
                <w:szCs w:val="18"/>
              </w:rPr>
            </w:pPr>
            <w:r w:rsidRPr="00EE27EB">
              <w:rPr>
                <w:b/>
                <w:sz w:val="18"/>
                <w:szCs w:val="18"/>
              </w:rPr>
              <w:t>Data protection claimed Y/N</w:t>
            </w:r>
          </w:p>
        </w:tc>
        <w:tc>
          <w:tcPr>
            <w:tcW w:w="1247" w:type="dxa"/>
            <w:vAlign w:val="center"/>
          </w:tcPr>
          <w:p w14:paraId="46B518F4" w14:textId="77777777" w:rsidR="00F51DFC" w:rsidRPr="00EE27EB" w:rsidRDefault="00F51DFC" w:rsidP="00C7032B">
            <w:pPr>
              <w:keepNext/>
              <w:keepLines/>
              <w:spacing w:after="0"/>
              <w:jc w:val="center"/>
              <w:rPr>
                <w:b/>
                <w:sz w:val="18"/>
                <w:szCs w:val="18"/>
              </w:rPr>
            </w:pPr>
            <w:r w:rsidRPr="00EE27EB">
              <w:rPr>
                <w:b/>
                <w:sz w:val="18"/>
                <w:szCs w:val="18"/>
              </w:rPr>
              <w:t>Owner</w:t>
            </w:r>
          </w:p>
        </w:tc>
      </w:tr>
      <w:tr w:rsidR="003036BE" w:rsidRPr="00037560" w14:paraId="1F9CB48F" w14:textId="77777777" w:rsidTr="00EE27EB">
        <w:trPr>
          <w:cantSplit/>
          <w:trHeight w:val="288"/>
        </w:trPr>
        <w:tc>
          <w:tcPr>
            <w:tcW w:w="1316" w:type="dxa"/>
            <w:shd w:val="clear" w:color="auto" w:fill="auto"/>
          </w:tcPr>
          <w:p w14:paraId="72741281" w14:textId="77777777" w:rsidR="003036BE" w:rsidRPr="00D60A6A" w:rsidRDefault="003036BE" w:rsidP="00D60A6A">
            <w:pPr>
              <w:spacing w:after="0"/>
              <w:rPr>
                <w:sz w:val="18"/>
                <w:szCs w:val="18"/>
              </w:rPr>
            </w:pPr>
            <w:r w:rsidRPr="00D60A6A">
              <w:rPr>
                <w:sz w:val="18"/>
                <w:szCs w:val="18"/>
              </w:rPr>
              <w:t>IIIM 5.1.1/04</w:t>
            </w:r>
          </w:p>
        </w:tc>
        <w:tc>
          <w:tcPr>
            <w:tcW w:w="1646" w:type="dxa"/>
            <w:shd w:val="clear" w:color="auto" w:fill="auto"/>
          </w:tcPr>
          <w:p w14:paraId="69F6E475" w14:textId="548AE91A" w:rsidR="003036BE" w:rsidRPr="00B837C3" w:rsidRDefault="003036BE" w:rsidP="00D60A6A">
            <w:pPr>
              <w:spacing w:after="0"/>
              <w:rPr>
                <w:sz w:val="18"/>
                <w:szCs w:val="18"/>
                <w:lang w:val="da-DK"/>
              </w:rPr>
            </w:pPr>
            <w:r w:rsidRPr="00B837C3">
              <w:rPr>
                <w:sz w:val="18"/>
                <w:szCs w:val="18"/>
                <w:lang w:val="da-DK"/>
              </w:rPr>
              <w:t xml:space="preserve">Dulmage, H.T., Boening, O.P., Rehnborg, C.S., </w:t>
            </w:r>
            <w:r w:rsidR="00D60A6A" w:rsidRPr="00B837C3">
              <w:rPr>
                <w:sz w:val="18"/>
                <w:szCs w:val="18"/>
                <w:lang w:val="da-DK"/>
              </w:rPr>
              <w:t xml:space="preserve">and </w:t>
            </w:r>
            <w:r w:rsidRPr="00B837C3">
              <w:rPr>
                <w:sz w:val="18"/>
                <w:szCs w:val="18"/>
                <w:lang w:val="da-DK"/>
              </w:rPr>
              <w:t>Hansen, G.D.</w:t>
            </w:r>
          </w:p>
        </w:tc>
        <w:tc>
          <w:tcPr>
            <w:tcW w:w="900" w:type="dxa"/>
            <w:shd w:val="clear" w:color="auto" w:fill="auto"/>
          </w:tcPr>
          <w:p w14:paraId="3FA7579D" w14:textId="77777777" w:rsidR="003036BE" w:rsidRPr="00D60A6A" w:rsidRDefault="003036BE" w:rsidP="00D60A6A">
            <w:pPr>
              <w:spacing w:after="0"/>
              <w:rPr>
                <w:sz w:val="18"/>
                <w:szCs w:val="18"/>
              </w:rPr>
            </w:pPr>
            <w:r w:rsidRPr="00D60A6A">
              <w:rPr>
                <w:sz w:val="18"/>
                <w:szCs w:val="18"/>
              </w:rPr>
              <w:t>1971</w:t>
            </w:r>
          </w:p>
        </w:tc>
        <w:tc>
          <w:tcPr>
            <w:tcW w:w="3420" w:type="dxa"/>
            <w:shd w:val="clear" w:color="auto" w:fill="auto"/>
          </w:tcPr>
          <w:p w14:paraId="11D8E639" w14:textId="77777777" w:rsidR="003036BE" w:rsidRPr="00D60A6A" w:rsidRDefault="003036BE" w:rsidP="00D60A6A">
            <w:pPr>
              <w:spacing w:after="0"/>
              <w:rPr>
                <w:sz w:val="18"/>
                <w:szCs w:val="18"/>
              </w:rPr>
            </w:pPr>
            <w:r w:rsidRPr="00D60A6A">
              <w:rPr>
                <w:sz w:val="18"/>
                <w:szCs w:val="18"/>
              </w:rPr>
              <w:t xml:space="preserve">A proposed standardized bioassay for formulations of </w:t>
            </w:r>
            <w:r w:rsidRPr="00D60A6A">
              <w:rPr>
                <w:i/>
                <w:iCs/>
                <w:sz w:val="18"/>
                <w:szCs w:val="18"/>
              </w:rPr>
              <w:t>Bacillus thuringiensis</w:t>
            </w:r>
            <w:r w:rsidRPr="00D60A6A">
              <w:rPr>
                <w:sz w:val="18"/>
                <w:szCs w:val="18"/>
              </w:rPr>
              <w:t xml:space="preserve"> based on the international unit</w:t>
            </w:r>
          </w:p>
          <w:p w14:paraId="4904D76C" w14:textId="6F03DB90" w:rsidR="003036BE" w:rsidRPr="00D60A6A" w:rsidRDefault="003036BE" w:rsidP="00D60A6A">
            <w:pPr>
              <w:spacing w:after="0"/>
              <w:rPr>
                <w:sz w:val="18"/>
                <w:szCs w:val="18"/>
              </w:rPr>
            </w:pPr>
            <w:r w:rsidRPr="00D60A6A">
              <w:rPr>
                <w:sz w:val="18"/>
                <w:szCs w:val="18"/>
              </w:rPr>
              <w:t>Journal of Invertebrate Pathology, Vol</w:t>
            </w:r>
            <w:r w:rsidR="00D60A6A" w:rsidRPr="00D60A6A">
              <w:rPr>
                <w:sz w:val="18"/>
                <w:szCs w:val="18"/>
              </w:rPr>
              <w:t>.</w:t>
            </w:r>
            <w:r w:rsidRPr="00D60A6A">
              <w:rPr>
                <w:sz w:val="18"/>
                <w:szCs w:val="18"/>
              </w:rPr>
              <w:t xml:space="preserve"> 18, Issue 2, p. 240-245</w:t>
            </w:r>
          </w:p>
          <w:p w14:paraId="59C92559" w14:textId="77777777" w:rsidR="003036BE" w:rsidRPr="00D60A6A" w:rsidRDefault="003036BE" w:rsidP="00D60A6A">
            <w:pPr>
              <w:spacing w:after="0"/>
              <w:rPr>
                <w:sz w:val="18"/>
                <w:szCs w:val="18"/>
              </w:rPr>
            </w:pPr>
            <w:r w:rsidRPr="00D60A6A">
              <w:rPr>
                <w:sz w:val="18"/>
                <w:szCs w:val="18"/>
              </w:rPr>
              <w:t>GLP: No</w:t>
            </w:r>
          </w:p>
          <w:p w14:paraId="14AA9C61" w14:textId="138992BF" w:rsidR="003036BE" w:rsidRPr="00D60A6A" w:rsidRDefault="003036BE" w:rsidP="00D60A6A">
            <w:pPr>
              <w:spacing w:after="120"/>
              <w:rPr>
                <w:sz w:val="18"/>
                <w:szCs w:val="18"/>
              </w:rPr>
            </w:pPr>
            <w:r w:rsidRPr="00D60A6A">
              <w:rPr>
                <w:sz w:val="18"/>
                <w:szCs w:val="18"/>
              </w:rPr>
              <w:t>Published</w:t>
            </w:r>
          </w:p>
        </w:tc>
        <w:tc>
          <w:tcPr>
            <w:tcW w:w="1350" w:type="dxa"/>
            <w:shd w:val="clear" w:color="auto" w:fill="auto"/>
          </w:tcPr>
          <w:p w14:paraId="703DEEEE" w14:textId="77777777" w:rsidR="003036BE" w:rsidRPr="00D60A6A" w:rsidRDefault="003036BE" w:rsidP="00D60A6A">
            <w:pPr>
              <w:spacing w:after="0"/>
              <w:rPr>
                <w:sz w:val="18"/>
                <w:szCs w:val="18"/>
              </w:rPr>
            </w:pPr>
            <w:r w:rsidRPr="00D60A6A">
              <w:rPr>
                <w:sz w:val="18"/>
                <w:szCs w:val="18"/>
              </w:rPr>
              <w:t>N</w:t>
            </w:r>
          </w:p>
        </w:tc>
        <w:tc>
          <w:tcPr>
            <w:tcW w:w="1247" w:type="dxa"/>
            <w:shd w:val="clear" w:color="auto" w:fill="auto"/>
          </w:tcPr>
          <w:p w14:paraId="13041B6C" w14:textId="3C713A8F" w:rsidR="003036BE" w:rsidRPr="00D60A6A" w:rsidRDefault="00DD38C4" w:rsidP="00D60A6A">
            <w:pPr>
              <w:spacing w:after="0"/>
              <w:rPr>
                <w:sz w:val="18"/>
                <w:szCs w:val="18"/>
              </w:rPr>
            </w:pPr>
            <w:r>
              <w:rPr>
                <w:sz w:val="18"/>
                <w:szCs w:val="18"/>
              </w:rPr>
              <w:t>Open literature</w:t>
            </w:r>
          </w:p>
        </w:tc>
      </w:tr>
      <w:tr w:rsidR="00F55494" w:rsidRPr="00037560" w14:paraId="7B25804E" w14:textId="77777777" w:rsidTr="00EE27EB">
        <w:trPr>
          <w:cantSplit/>
          <w:trHeight w:val="288"/>
        </w:trPr>
        <w:tc>
          <w:tcPr>
            <w:tcW w:w="1316" w:type="dxa"/>
            <w:shd w:val="clear" w:color="auto" w:fill="auto"/>
          </w:tcPr>
          <w:p w14:paraId="0935EFB0" w14:textId="04F75815" w:rsidR="00F55494" w:rsidRPr="001433F9" w:rsidRDefault="00F55494" w:rsidP="00F55494">
            <w:pPr>
              <w:spacing w:after="0"/>
              <w:rPr>
                <w:sz w:val="18"/>
                <w:szCs w:val="18"/>
              </w:rPr>
            </w:pPr>
            <w:r w:rsidRPr="001433F9">
              <w:rPr>
                <w:sz w:val="18"/>
                <w:szCs w:val="18"/>
              </w:rPr>
              <w:t>III 5.1.4/01</w:t>
            </w:r>
          </w:p>
        </w:tc>
        <w:tc>
          <w:tcPr>
            <w:tcW w:w="1646" w:type="dxa"/>
          </w:tcPr>
          <w:p w14:paraId="7538DF11" w14:textId="1F16B7E6" w:rsidR="00F55494" w:rsidRPr="001433F9" w:rsidRDefault="00F55494" w:rsidP="00F55494">
            <w:pPr>
              <w:spacing w:after="0"/>
              <w:rPr>
                <w:sz w:val="18"/>
                <w:szCs w:val="18"/>
              </w:rPr>
            </w:pPr>
            <w:r w:rsidRPr="001433F9">
              <w:rPr>
                <w:spacing w:val="-2"/>
                <w:sz w:val="18"/>
                <w:szCs w:val="18"/>
                <w:lang w:val="en-US" w:eastAsia="it-IT"/>
              </w:rPr>
              <w:t>Comb, A.L.</w:t>
            </w:r>
          </w:p>
        </w:tc>
        <w:tc>
          <w:tcPr>
            <w:tcW w:w="900" w:type="dxa"/>
          </w:tcPr>
          <w:p w14:paraId="21D28EDB" w14:textId="4599C799" w:rsidR="00F55494" w:rsidRPr="001433F9" w:rsidRDefault="00F55494" w:rsidP="00F55494">
            <w:pPr>
              <w:spacing w:after="0"/>
              <w:rPr>
                <w:sz w:val="18"/>
                <w:szCs w:val="18"/>
              </w:rPr>
            </w:pPr>
            <w:r w:rsidRPr="001433F9">
              <w:rPr>
                <w:spacing w:val="-2"/>
                <w:sz w:val="18"/>
                <w:szCs w:val="18"/>
                <w:lang w:val="en-US" w:eastAsia="it-IT"/>
              </w:rPr>
              <w:t>2012</w:t>
            </w:r>
          </w:p>
        </w:tc>
        <w:tc>
          <w:tcPr>
            <w:tcW w:w="3420" w:type="dxa"/>
          </w:tcPr>
          <w:p w14:paraId="378B18A4" w14:textId="77777777" w:rsidR="00F55494" w:rsidRPr="001433F9" w:rsidRDefault="00F55494" w:rsidP="00F55494">
            <w:pPr>
              <w:tabs>
                <w:tab w:val="left" w:pos="-23"/>
                <w:tab w:val="center" w:pos="4229"/>
                <w:tab w:val="right" w:pos="8480"/>
              </w:tabs>
              <w:suppressAutoHyphens/>
              <w:spacing w:after="0"/>
              <w:rPr>
                <w:caps/>
                <w:spacing w:val="-2"/>
                <w:sz w:val="18"/>
                <w:szCs w:val="18"/>
                <w:lang w:val="en-US" w:eastAsia="it-IT"/>
              </w:rPr>
            </w:pPr>
            <w:r w:rsidRPr="001433F9">
              <w:rPr>
                <w:caps/>
                <w:spacing w:val="-2"/>
                <w:sz w:val="18"/>
                <w:szCs w:val="18"/>
                <w:lang w:val="en-US" w:eastAsia="it-IT"/>
              </w:rPr>
              <w:t xml:space="preserve">ABG-6431 </w:t>
            </w:r>
            <w:r w:rsidRPr="001433F9">
              <w:rPr>
                <w:spacing w:val="-2"/>
                <w:sz w:val="18"/>
                <w:szCs w:val="18"/>
                <w:lang w:val="en-US" w:eastAsia="it-IT"/>
              </w:rPr>
              <w:t>Physico-Chemical Properties</w:t>
            </w:r>
          </w:p>
          <w:p w14:paraId="6E3D202B" w14:textId="77777777" w:rsidR="00F55494" w:rsidRPr="001433F9" w:rsidRDefault="00F55494" w:rsidP="00F55494">
            <w:pPr>
              <w:tabs>
                <w:tab w:val="left" w:pos="-23"/>
                <w:tab w:val="center" w:pos="4229"/>
                <w:tab w:val="right" w:pos="8480"/>
              </w:tabs>
              <w:suppressAutoHyphens/>
              <w:spacing w:after="0"/>
              <w:rPr>
                <w:spacing w:val="-2"/>
                <w:sz w:val="18"/>
                <w:szCs w:val="18"/>
                <w:lang w:val="en-US" w:eastAsia="it-IT"/>
              </w:rPr>
            </w:pPr>
            <w:r w:rsidRPr="001433F9">
              <w:rPr>
                <w:spacing w:val="-2"/>
                <w:sz w:val="18"/>
                <w:szCs w:val="18"/>
                <w:lang w:val="en-US" w:eastAsia="it-IT"/>
              </w:rPr>
              <w:t>Huntingdon Life Sciences Ltd., UK</w:t>
            </w:r>
          </w:p>
          <w:p w14:paraId="3A081499" w14:textId="77777777" w:rsidR="00F55494" w:rsidRPr="001433F9" w:rsidRDefault="00F55494" w:rsidP="00F55494">
            <w:pPr>
              <w:tabs>
                <w:tab w:val="center" w:pos="4229"/>
                <w:tab w:val="right" w:pos="8480"/>
              </w:tabs>
              <w:suppressAutoHyphens/>
              <w:spacing w:after="0"/>
              <w:rPr>
                <w:spacing w:val="-2"/>
                <w:sz w:val="18"/>
                <w:szCs w:val="18"/>
                <w:lang w:val="en-US" w:eastAsia="it-IT"/>
              </w:rPr>
            </w:pPr>
            <w:r w:rsidRPr="001433F9">
              <w:rPr>
                <w:spacing w:val="-2"/>
                <w:sz w:val="18"/>
                <w:szCs w:val="18"/>
                <w:lang w:val="en-US" w:eastAsia="it-IT"/>
              </w:rPr>
              <w:t xml:space="preserve">Report-No.: </w:t>
            </w:r>
            <w:r w:rsidRPr="001433F9">
              <w:rPr>
                <w:rFonts w:eastAsiaTheme="minorHAnsi"/>
                <w:sz w:val="18"/>
                <w:szCs w:val="18"/>
                <w:lang w:val="en-US"/>
              </w:rPr>
              <w:t>ZAB0121</w:t>
            </w:r>
          </w:p>
          <w:p w14:paraId="630AF88A" w14:textId="77777777" w:rsidR="00F55494" w:rsidRPr="001433F9" w:rsidRDefault="00F55494" w:rsidP="00F55494">
            <w:pPr>
              <w:tabs>
                <w:tab w:val="left" w:pos="-23"/>
                <w:tab w:val="center" w:pos="4229"/>
                <w:tab w:val="right" w:pos="8480"/>
              </w:tabs>
              <w:suppressAutoHyphens/>
              <w:spacing w:after="0"/>
              <w:rPr>
                <w:spacing w:val="-2"/>
                <w:sz w:val="18"/>
                <w:szCs w:val="18"/>
                <w:lang w:val="en-US" w:eastAsia="it-IT"/>
              </w:rPr>
            </w:pPr>
            <w:r w:rsidRPr="001433F9">
              <w:rPr>
                <w:spacing w:val="-2"/>
                <w:sz w:val="18"/>
                <w:szCs w:val="18"/>
                <w:lang w:val="en-US" w:eastAsia="it-IT"/>
              </w:rPr>
              <w:t>GLP: Yes</w:t>
            </w:r>
          </w:p>
          <w:p w14:paraId="25BF2ED1" w14:textId="36EDA07F" w:rsidR="00F55494" w:rsidRPr="001433F9" w:rsidRDefault="00F55494" w:rsidP="002F6202">
            <w:pPr>
              <w:spacing w:after="120"/>
              <w:rPr>
                <w:sz w:val="18"/>
                <w:szCs w:val="18"/>
              </w:rPr>
            </w:pPr>
            <w:r w:rsidRPr="001433F9">
              <w:rPr>
                <w:spacing w:val="-2"/>
                <w:sz w:val="18"/>
                <w:szCs w:val="18"/>
                <w:lang w:val="en-US" w:eastAsia="it-IT"/>
              </w:rPr>
              <w:t>Unpublished</w:t>
            </w:r>
          </w:p>
        </w:tc>
        <w:tc>
          <w:tcPr>
            <w:tcW w:w="1350" w:type="dxa"/>
          </w:tcPr>
          <w:p w14:paraId="3273D7CD" w14:textId="55330439" w:rsidR="00F55494" w:rsidRPr="001433F9" w:rsidRDefault="00F55494" w:rsidP="00F55494">
            <w:pPr>
              <w:spacing w:after="0"/>
              <w:rPr>
                <w:sz w:val="18"/>
                <w:szCs w:val="18"/>
              </w:rPr>
            </w:pPr>
            <w:r w:rsidRPr="001433F9">
              <w:rPr>
                <w:spacing w:val="-2"/>
                <w:sz w:val="18"/>
                <w:szCs w:val="18"/>
                <w:lang w:val="en-US" w:eastAsia="it-IT"/>
              </w:rPr>
              <w:t>N</w:t>
            </w:r>
          </w:p>
        </w:tc>
        <w:tc>
          <w:tcPr>
            <w:tcW w:w="1247" w:type="dxa"/>
          </w:tcPr>
          <w:p w14:paraId="212A9F14" w14:textId="53048753" w:rsidR="00F55494" w:rsidRPr="001433F9" w:rsidRDefault="00037AEE" w:rsidP="00F55494">
            <w:pPr>
              <w:spacing w:after="0"/>
              <w:rPr>
                <w:sz w:val="18"/>
                <w:szCs w:val="18"/>
              </w:rPr>
            </w:pPr>
            <w:r>
              <w:rPr>
                <w:sz w:val="18"/>
                <w:szCs w:val="18"/>
                <w:lang w:val="en-US"/>
              </w:rPr>
              <w:t>XXXX</w:t>
            </w:r>
          </w:p>
        </w:tc>
      </w:tr>
      <w:bookmarkEnd w:id="52"/>
    </w:tbl>
    <w:p w14:paraId="45B50501" w14:textId="77777777" w:rsidR="00B715EE" w:rsidRDefault="00B715EE" w:rsidP="605A97F6">
      <w:pPr>
        <w:pStyle w:val="OECD-HeadLine1"/>
        <w:ind w:left="0" w:firstLine="0"/>
      </w:pPr>
    </w:p>
    <w:sectPr w:rsidR="00B715EE" w:rsidSect="00F1602C">
      <w:headerReference w:type="even" r:id="rId12"/>
      <w:headerReference w:type="first" r:id="rId13"/>
      <w:pgSz w:w="11909" w:h="16834" w:code="9"/>
      <w:pgMar w:top="1418" w:right="1134" w:bottom="1134" w:left="1418"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50973" w14:textId="77777777" w:rsidR="0090742A" w:rsidRDefault="0090742A">
      <w:r>
        <w:separator/>
      </w:r>
    </w:p>
  </w:endnote>
  <w:endnote w:type="continuationSeparator" w:id="0">
    <w:p w14:paraId="22803C57" w14:textId="77777777" w:rsidR="0090742A" w:rsidRDefault="0090742A">
      <w:r>
        <w:continuationSeparator/>
      </w:r>
    </w:p>
  </w:endnote>
  <w:endnote w:type="continuationNotice" w:id="1">
    <w:p w14:paraId="4F5E1AAD" w14:textId="77777777" w:rsidR="0090742A" w:rsidRDefault="009074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68AF7" w14:textId="419D7599" w:rsidR="007C3835" w:rsidRPr="007C3835" w:rsidRDefault="007C3835" w:rsidP="007C3835">
    <w:pPr>
      <w:pBdr>
        <w:top w:val="single" w:sz="4" w:space="1" w:color="auto"/>
      </w:pBdr>
      <w:tabs>
        <w:tab w:val="clear" w:pos="720"/>
        <w:tab w:val="center" w:pos="4153"/>
        <w:tab w:val="right" w:pos="8306"/>
      </w:tabs>
      <w:autoSpaceDE w:val="0"/>
      <w:autoSpaceDN w:val="0"/>
      <w:spacing w:after="0"/>
      <w:rPr>
        <w:rFonts w:eastAsia="SimSun" w:cs="Arial"/>
        <w:sz w:val="16"/>
        <w:szCs w:val="20"/>
        <w:lang w:eastAsia="en-GB"/>
      </w:rPr>
    </w:pPr>
    <w:r w:rsidRPr="007C3835">
      <w:rPr>
        <w:rFonts w:eastAsia="SimSun" w:cs="Arial"/>
        <w:sz w:val="16"/>
        <w:szCs w:val="20"/>
        <w:lang w:eastAsia="en-GB"/>
      </w:rPr>
      <w:t xml:space="preserve">Applicant: </w:t>
    </w:r>
    <w:r w:rsidR="00037AEE">
      <w:rPr>
        <w:rFonts w:eastAsia="SimSun" w:cs="Arial"/>
        <w:sz w:val="16"/>
        <w:szCs w:val="20"/>
        <w:lang w:eastAsia="en-GB"/>
      </w:rPr>
      <w:t>XXXX</w:t>
    </w:r>
    <w:r w:rsidRPr="007C3835">
      <w:rPr>
        <w:rFonts w:ascii="Arial" w:eastAsia="SimSun" w:hAnsi="Arial" w:cs="Arial"/>
        <w:sz w:val="16"/>
        <w:szCs w:val="20"/>
        <w:lang w:eastAsia="en-GB"/>
      </w:rPr>
      <w:ptab w:relativeTo="margin" w:alignment="center" w:leader="none"/>
    </w:r>
    <w:r w:rsidRPr="007C3835">
      <w:rPr>
        <w:rFonts w:ascii="Arial" w:eastAsia="SimSun" w:hAnsi="Arial" w:cs="Arial"/>
        <w:sz w:val="16"/>
        <w:szCs w:val="20"/>
        <w:lang w:eastAsia="en-GB"/>
      </w:rPr>
      <w:ptab w:relativeTo="margin" w:alignment="right" w:leader="none"/>
    </w:r>
    <w:r w:rsidRPr="007C3835">
      <w:rPr>
        <w:rFonts w:eastAsia="SimSun"/>
        <w:sz w:val="16"/>
        <w:szCs w:val="20"/>
        <w:lang w:eastAsia="en-GB"/>
      </w:rPr>
      <w:t>Zonal</w:t>
    </w:r>
    <w:r w:rsidRPr="007C3835">
      <w:rPr>
        <w:rFonts w:ascii="Arial" w:eastAsia="SimSun" w:hAnsi="Arial" w:cs="Arial"/>
        <w:sz w:val="16"/>
        <w:szCs w:val="20"/>
        <w:lang w:eastAsia="en-GB"/>
      </w:rPr>
      <w:t xml:space="preserve"> </w:t>
    </w:r>
    <w:r w:rsidRPr="007C3835">
      <w:rPr>
        <w:rFonts w:eastAsia="SimSun" w:cs="Arial"/>
        <w:sz w:val="16"/>
        <w:szCs w:val="20"/>
        <w:lang w:eastAsia="en-GB"/>
      </w:rPr>
      <w:t>Evaluator: Poland</w:t>
    </w:r>
  </w:p>
  <w:p w14:paraId="7F4E2422" w14:textId="3DB273F3" w:rsidR="007C3835" w:rsidRPr="007C3835" w:rsidRDefault="007C3835" w:rsidP="007C3835">
    <w:pPr>
      <w:pBdr>
        <w:top w:val="single" w:sz="4" w:space="1" w:color="auto"/>
      </w:pBdr>
      <w:tabs>
        <w:tab w:val="clear" w:pos="720"/>
        <w:tab w:val="center" w:pos="4153"/>
        <w:tab w:val="right" w:pos="8306"/>
      </w:tabs>
      <w:autoSpaceDE w:val="0"/>
      <w:autoSpaceDN w:val="0"/>
      <w:spacing w:after="0"/>
      <w:rPr>
        <w:rFonts w:ascii="Arial" w:eastAsia="SimSun" w:hAnsi="Arial" w:cs="Arial"/>
        <w:sz w:val="16"/>
        <w:szCs w:val="20"/>
        <w:lang w:eastAsia="en-GB"/>
      </w:rPr>
    </w:pPr>
    <w:r w:rsidRPr="007C3835">
      <w:rPr>
        <w:rFonts w:ascii="Arial" w:eastAsia="SimSun" w:hAnsi="Arial" w:cs="Arial"/>
        <w:sz w:val="16"/>
        <w:szCs w:val="20"/>
        <w:lang w:eastAsia="en-GB"/>
      </w:rPr>
      <w:ptab w:relativeTo="margin" w:alignment="center" w:leader="none"/>
    </w:r>
    <w:r w:rsidRPr="007C3835">
      <w:rPr>
        <w:rFonts w:ascii="Arial" w:eastAsia="SimSun" w:hAnsi="Arial" w:cs="Arial"/>
        <w:sz w:val="16"/>
        <w:szCs w:val="20"/>
        <w:lang w:eastAsia="en-GB"/>
      </w:rPr>
      <w:ptab w:relativeTo="margin" w:alignment="right" w:leader="none"/>
    </w:r>
    <w:r w:rsidRPr="007C3835">
      <w:rPr>
        <w:rFonts w:eastAsia="SimSun"/>
        <w:sz w:val="16"/>
        <w:szCs w:val="20"/>
        <w:lang w:eastAsia="en-GB"/>
      </w:rPr>
      <w:t>Date</w:t>
    </w:r>
    <w:r w:rsidRPr="007C3835">
      <w:rPr>
        <w:rFonts w:eastAsia="SimSun" w:cs="Arial"/>
        <w:sz w:val="16"/>
        <w:szCs w:val="20"/>
        <w:lang w:eastAsia="en-GB"/>
      </w:rPr>
      <w:t xml:space="preserve">: </w:t>
    </w:r>
    <w:r w:rsidR="00C7032B">
      <w:rPr>
        <w:rFonts w:eastAsia="SimSun" w:cs="Arial"/>
        <w:sz w:val="16"/>
        <w:szCs w:val="20"/>
        <w:lang w:eastAsia="en-GB"/>
      </w:rPr>
      <w:t>Ma</w:t>
    </w:r>
    <w:r w:rsidR="00675ECD">
      <w:rPr>
        <w:rFonts w:eastAsia="SimSun" w:cs="Arial"/>
        <w:sz w:val="16"/>
        <w:szCs w:val="20"/>
        <w:lang w:eastAsia="en-GB"/>
      </w:rPr>
      <w:t>y</w:t>
    </w:r>
    <w:r w:rsidR="00C7032B">
      <w:rPr>
        <w:rFonts w:eastAsia="SimSun" w:cs="Arial"/>
        <w:sz w:val="16"/>
        <w:szCs w:val="20"/>
        <w:lang w:eastAsia="en-GB"/>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C5C771" w14:textId="77777777" w:rsidR="0090742A" w:rsidRDefault="0090742A">
      <w:r>
        <w:separator/>
      </w:r>
    </w:p>
  </w:footnote>
  <w:footnote w:type="continuationSeparator" w:id="0">
    <w:p w14:paraId="4D216C4B" w14:textId="77777777" w:rsidR="0090742A" w:rsidRDefault="0090742A">
      <w:r>
        <w:continuationSeparator/>
      </w:r>
    </w:p>
  </w:footnote>
  <w:footnote w:type="continuationNotice" w:id="1">
    <w:p w14:paraId="57E37144" w14:textId="77777777" w:rsidR="0090742A" w:rsidRDefault="0090742A">
      <w:pPr>
        <w:spacing w:after="0"/>
      </w:pPr>
    </w:p>
  </w:footnote>
  <w:footnote w:id="2">
    <w:p w14:paraId="1861964F" w14:textId="77777777" w:rsidR="00F51DFC" w:rsidRPr="00FB6C9E" w:rsidRDefault="00F51DFC" w:rsidP="00F51DFC">
      <w:pPr>
        <w:pStyle w:val="Tekstprzypisudolnego"/>
        <w:rPr>
          <w:sz w:val="16"/>
          <w:szCs w:val="16"/>
        </w:rPr>
      </w:pPr>
      <w:r>
        <w:rPr>
          <w:rStyle w:val="Odwoanieprzypisudolnego"/>
        </w:rPr>
        <w:footnoteRef/>
      </w:r>
      <w:r>
        <w:t xml:space="preserve">  </w:t>
      </w:r>
      <w:r w:rsidRPr="00FB6C9E">
        <w:rPr>
          <w:sz w:val="16"/>
          <w:szCs w:val="16"/>
          <w:lang w:val="en-US"/>
        </w:rPr>
        <w:t>Prescott, L.M., Harley, J.P. and Klein, D.A. 1990. Microbiology. W.C. Brown. IA. pp 345.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63" w:type="dxa"/>
      <w:tblBorders>
        <w:bottom w:val="thickThinMediumGap" w:sz="12" w:space="0" w:color="auto"/>
      </w:tblBorders>
      <w:tblLook w:val="0000" w:firstRow="0" w:lastRow="0" w:firstColumn="0" w:lastColumn="0" w:noHBand="0" w:noVBand="0"/>
    </w:tblPr>
    <w:tblGrid>
      <w:gridCol w:w="2410"/>
      <w:gridCol w:w="4135"/>
      <w:gridCol w:w="3018"/>
    </w:tblGrid>
    <w:tr w:rsidR="008769D8" w:rsidRPr="008769D8" w14:paraId="5B628E40" w14:textId="77777777" w:rsidTr="00B747F3">
      <w:tc>
        <w:tcPr>
          <w:tcW w:w="2410" w:type="dxa"/>
          <w:tcBorders>
            <w:bottom w:val="thickThinMediumGap" w:sz="12" w:space="0" w:color="auto"/>
          </w:tcBorders>
          <w:tcMar>
            <w:left w:w="0" w:type="dxa"/>
            <w:right w:w="0" w:type="dxa"/>
          </w:tcMar>
        </w:tcPr>
        <w:p w14:paraId="45B78762" w14:textId="6BCA5B41" w:rsidR="008769D8" w:rsidRPr="008769D8" w:rsidRDefault="008769D8" w:rsidP="008769D8">
          <w:pPr>
            <w:tabs>
              <w:tab w:val="clear" w:pos="720"/>
            </w:tabs>
            <w:spacing w:after="0"/>
            <w:rPr>
              <w:i/>
              <w:color w:val="000000"/>
              <w:sz w:val="16"/>
              <w:szCs w:val="20"/>
            </w:rPr>
          </w:pPr>
          <w:r w:rsidRPr="008769D8">
            <w:rPr>
              <w:color w:val="000000"/>
              <w:sz w:val="16"/>
              <w:szCs w:val="20"/>
            </w:rPr>
            <w:t xml:space="preserve">Part B – Section </w:t>
          </w:r>
          <w:r>
            <w:rPr>
              <w:color w:val="000000"/>
              <w:sz w:val="16"/>
              <w:szCs w:val="20"/>
            </w:rPr>
            <w:t>2</w:t>
          </w:r>
          <w:r w:rsidRPr="008769D8">
            <w:rPr>
              <w:color w:val="000000"/>
              <w:sz w:val="16"/>
              <w:szCs w:val="20"/>
            </w:rPr>
            <w:br/>
          </w:r>
          <w:r w:rsidRPr="008769D8">
            <w:rPr>
              <w:sz w:val="16"/>
              <w:szCs w:val="20"/>
            </w:rPr>
            <w:t>Core Assessment</w:t>
          </w:r>
        </w:p>
      </w:tc>
      <w:tc>
        <w:tcPr>
          <w:tcW w:w="4135" w:type="dxa"/>
          <w:tcBorders>
            <w:bottom w:val="thickThinMediumGap" w:sz="12" w:space="0" w:color="auto"/>
          </w:tcBorders>
          <w:tcMar>
            <w:left w:w="0" w:type="dxa"/>
            <w:right w:w="0" w:type="dxa"/>
          </w:tcMar>
        </w:tcPr>
        <w:p w14:paraId="2CD1902C" w14:textId="3369A550" w:rsidR="008769D8" w:rsidRPr="008769D8" w:rsidRDefault="008769D8" w:rsidP="008769D8">
          <w:pPr>
            <w:spacing w:after="0"/>
            <w:jc w:val="center"/>
            <w:rPr>
              <w:color w:val="000000"/>
              <w:sz w:val="16"/>
              <w:szCs w:val="20"/>
            </w:rPr>
          </w:pPr>
          <w:r w:rsidRPr="008769D8">
            <w:rPr>
              <w:color w:val="000000"/>
              <w:sz w:val="16"/>
              <w:szCs w:val="20"/>
            </w:rPr>
            <w:t>Foray</w:t>
          </w:r>
          <w:r w:rsidRPr="008769D8">
            <w:rPr>
              <w:color w:val="000000"/>
              <w:sz w:val="16"/>
              <w:szCs w:val="20"/>
              <w:vertAlign w:val="superscript"/>
            </w:rPr>
            <w:t>®</w:t>
          </w:r>
          <w:r w:rsidRPr="008769D8">
            <w:rPr>
              <w:color w:val="000000"/>
              <w:sz w:val="16"/>
              <w:szCs w:val="20"/>
            </w:rPr>
            <w:t xml:space="preserve"> </w:t>
          </w:r>
          <w:r w:rsidR="003752E2">
            <w:rPr>
              <w:color w:val="000000"/>
              <w:sz w:val="16"/>
              <w:szCs w:val="20"/>
            </w:rPr>
            <w:t>76</w:t>
          </w:r>
          <w:r w:rsidRPr="008769D8">
            <w:rPr>
              <w:color w:val="000000"/>
              <w:sz w:val="16"/>
              <w:szCs w:val="20"/>
            </w:rPr>
            <w:t>B</w:t>
          </w:r>
        </w:p>
      </w:tc>
      <w:tc>
        <w:tcPr>
          <w:tcW w:w="3018" w:type="dxa"/>
          <w:tcBorders>
            <w:bottom w:val="thickThinMediumGap" w:sz="12" w:space="0" w:color="auto"/>
          </w:tcBorders>
          <w:tcMar>
            <w:left w:w="0" w:type="dxa"/>
            <w:right w:w="0" w:type="dxa"/>
          </w:tcMar>
        </w:tcPr>
        <w:p w14:paraId="7E94AC17" w14:textId="765F40BA" w:rsidR="008769D8" w:rsidRPr="008769D8" w:rsidRDefault="008769D8" w:rsidP="008769D8">
          <w:pPr>
            <w:spacing w:after="0"/>
            <w:jc w:val="right"/>
            <w:rPr>
              <w:color w:val="000000"/>
              <w:sz w:val="16"/>
              <w:szCs w:val="20"/>
            </w:rPr>
          </w:pPr>
          <w:r w:rsidRPr="008769D8">
            <w:rPr>
              <w:color w:val="000000"/>
              <w:sz w:val="16"/>
              <w:szCs w:val="20"/>
            </w:rPr>
            <w:t xml:space="preserve">Registration Report – </w:t>
          </w:r>
          <w:r w:rsidR="003752E2">
            <w:rPr>
              <w:color w:val="000000"/>
              <w:sz w:val="16"/>
              <w:szCs w:val="20"/>
            </w:rPr>
            <w:t>Central</w:t>
          </w:r>
          <w:r w:rsidRPr="008769D8">
            <w:rPr>
              <w:color w:val="000000"/>
              <w:sz w:val="16"/>
              <w:szCs w:val="20"/>
            </w:rPr>
            <w:t xml:space="preserve"> Zone</w:t>
          </w:r>
          <w:r w:rsidRPr="008769D8">
            <w:rPr>
              <w:color w:val="000000"/>
              <w:sz w:val="16"/>
              <w:szCs w:val="20"/>
            </w:rPr>
            <w:br/>
            <w:t xml:space="preserve">Member State: </w:t>
          </w:r>
          <w:r w:rsidR="00B747F3">
            <w:rPr>
              <w:color w:val="000000"/>
              <w:sz w:val="16"/>
              <w:szCs w:val="20"/>
            </w:rPr>
            <w:t>Poland</w:t>
          </w:r>
        </w:p>
        <w:p w14:paraId="289AF2D5" w14:textId="77777777" w:rsidR="008769D8" w:rsidRPr="008769D8" w:rsidRDefault="008769D8" w:rsidP="008769D8">
          <w:pPr>
            <w:spacing w:after="120"/>
            <w:jc w:val="right"/>
            <w:rPr>
              <w:color w:val="000000"/>
              <w:sz w:val="16"/>
              <w:szCs w:val="20"/>
            </w:rPr>
          </w:pPr>
          <w:r w:rsidRPr="008769D8">
            <w:rPr>
              <w:color w:val="000000"/>
              <w:sz w:val="16"/>
              <w:szCs w:val="20"/>
            </w:rPr>
            <w:t xml:space="preserve">Page </w:t>
          </w:r>
          <w:r w:rsidRPr="008769D8">
            <w:rPr>
              <w:color w:val="000000"/>
              <w:sz w:val="16"/>
              <w:szCs w:val="20"/>
            </w:rPr>
            <w:fldChar w:fldCharType="begin"/>
          </w:r>
          <w:r w:rsidRPr="008769D8">
            <w:rPr>
              <w:color w:val="000000"/>
              <w:sz w:val="16"/>
              <w:szCs w:val="20"/>
            </w:rPr>
            <w:instrText xml:space="preserve"> PAGE </w:instrText>
          </w:r>
          <w:r w:rsidRPr="008769D8">
            <w:rPr>
              <w:color w:val="000000"/>
              <w:sz w:val="16"/>
              <w:szCs w:val="20"/>
            </w:rPr>
            <w:fldChar w:fldCharType="separate"/>
          </w:r>
          <w:r w:rsidRPr="008769D8">
            <w:rPr>
              <w:noProof/>
              <w:color w:val="000000"/>
              <w:sz w:val="16"/>
              <w:szCs w:val="20"/>
            </w:rPr>
            <w:t>1</w:t>
          </w:r>
          <w:r w:rsidRPr="008769D8">
            <w:rPr>
              <w:color w:val="000000"/>
              <w:sz w:val="16"/>
              <w:szCs w:val="20"/>
            </w:rPr>
            <w:fldChar w:fldCharType="end"/>
          </w:r>
          <w:r w:rsidRPr="008769D8">
            <w:rPr>
              <w:color w:val="000000"/>
              <w:sz w:val="16"/>
              <w:szCs w:val="20"/>
            </w:rPr>
            <w:t xml:space="preserve"> of </w:t>
          </w:r>
          <w:r w:rsidRPr="008769D8">
            <w:rPr>
              <w:color w:val="000000"/>
              <w:sz w:val="16"/>
              <w:szCs w:val="20"/>
            </w:rPr>
            <w:fldChar w:fldCharType="begin"/>
          </w:r>
          <w:r w:rsidRPr="008769D8">
            <w:rPr>
              <w:color w:val="000000"/>
              <w:sz w:val="16"/>
              <w:szCs w:val="20"/>
            </w:rPr>
            <w:instrText xml:space="preserve"> NUMPAGES </w:instrText>
          </w:r>
          <w:r w:rsidRPr="008769D8">
            <w:rPr>
              <w:color w:val="000000"/>
              <w:sz w:val="16"/>
              <w:szCs w:val="20"/>
            </w:rPr>
            <w:fldChar w:fldCharType="separate"/>
          </w:r>
          <w:r w:rsidRPr="008769D8">
            <w:rPr>
              <w:noProof/>
              <w:color w:val="000000"/>
              <w:sz w:val="16"/>
              <w:szCs w:val="20"/>
            </w:rPr>
            <w:t>20</w:t>
          </w:r>
          <w:r w:rsidRPr="008769D8">
            <w:rPr>
              <w:noProof/>
              <w:color w:val="000000"/>
              <w:sz w:val="16"/>
              <w:szCs w:val="20"/>
            </w:rPr>
            <w:fldChar w:fldCharType="end"/>
          </w:r>
        </w:p>
      </w:tc>
    </w:tr>
  </w:tbl>
  <w:p w14:paraId="661D257A" w14:textId="77777777" w:rsidR="00B715EE" w:rsidRDefault="00B715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550A8" w14:textId="77777777" w:rsidR="00B715EE" w:rsidRDefault="00B715E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5542662" w14:textId="77777777" w:rsidR="00B715EE" w:rsidRDefault="00B715EE">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DC455" w14:textId="77777777" w:rsidR="00B715EE" w:rsidRDefault="00B715EE">
    <w:pPr>
      <w:pStyle w:val="Nagwek"/>
    </w:pPr>
  </w:p>
</w:hdr>
</file>

<file path=word/intelligence2.xml><?xml version="1.0" encoding="utf-8"?>
<int2:intelligence xmlns:int2="http://schemas.microsoft.com/office/intelligence/2020/intelligence" xmlns:oel="http://schemas.microsoft.com/office/2019/extlst">
  <int2:observations>
    <int2:textHash int2:hashCode="RpuJp7uszu3rd7" int2:id="1mbrp9tm">
      <int2:state int2:value="Rejected" int2:type="AugLoop_Text_Critique"/>
    </int2:textHash>
    <int2:textHash int2:hashCode="VudC0iZq9zv1S6" int2:id="BFvk2zm1">
      <int2:state int2:value="Rejected" int2:type="AugLoop_Text_Critique"/>
    </int2:textHash>
    <int2:textHash int2:hashCode="rXW04i5V3oLpT4" int2:id="CTsDwRep">
      <int2:state int2:value="Rejected" int2:type="AugLoop_Text_Critique"/>
    </int2:textHash>
    <int2:bookmark int2:bookmarkName="_Int_z3u2y8q5" int2:invalidationBookmarkName="" int2:hashCode="0KPn+BqYhemQSd" int2:id="pcKcNwZ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8188AD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67AC88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4FC95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BEE201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A1879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5296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30FB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AAA9D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62D7F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9AE38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07CA2"/>
    <w:multiLevelType w:val="hybridMultilevel"/>
    <w:tmpl w:val="27FC314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F8370B"/>
    <w:multiLevelType w:val="multilevel"/>
    <w:tmpl w:val="E60A97AC"/>
    <w:lvl w:ilvl="0">
      <w:start w:val="5"/>
      <w:numFmt w:val="decimal"/>
      <w:lvlRestart w:val="0"/>
      <w:pStyle w:val="Nagwek1"/>
      <w:lvlText w:val="IIIA %1"/>
      <w:lvlJc w:val="left"/>
      <w:pPr>
        <w:tabs>
          <w:tab w:val="num" w:pos="1440"/>
        </w:tabs>
        <w:ind w:left="1440" w:hanging="1440"/>
      </w:pPr>
      <w:rPr>
        <w:rFonts w:cs="Times New Roman" w:hint="default"/>
      </w:rPr>
    </w:lvl>
    <w:lvl w:ilvl="1">
      <w:start w:val="1"/>
      <w:numFmt w:val="decimal"/>
      <w:pStyle w:val="Nagwek2"/>
      <w:lvlText w:val="IIIA %1.%2"/>
      <w:lvlJc w:val="left"/>
      <w:pPr>
        <w:tabs>
          <w:tab w:val="num" w:pos="1440"/>
        </w:tabs>
        <w:ind w:left="1440" w:hanging="1440"/>
      </w:pPr>
      <w:rPr>
        <w:rFonts w:cs="Times New Roman" w:hint="default"/>
      </w:rPr>
    </w:lvl>
    <w:lvl w:ilvl="2">
      <w:start w:val="1"/>
      <w:numFmt w:val="decimal"/>
      <w:pStyle w:val="Nagwek3"/>
      <w:lvlText w:val="IIIA %1.%2.%3"/>
      <w:lvlJc w:val="left"/>
      <w:pPr>
        <w:tabs>
          <w:tab w:val="num" w:pos="1440"/>
        </w:tabs>
        <w:ind w:left="1440" w:hanging="1440"/>
      </w:pPr>
      <w:rPr>
        <w:rFonts w:cs="Times New Roman" w:hint="default"/>
      </w:rPr>
    </w:lvl>
    <w:lvl w:ilvl="3">
      <w:start w:val="1"/>
      <w:numFmt w:val="decimal"/>
      <w:pStyle w:val="Nagwek4"/>
      <w:lvlText w:val="IIIA %1.%2.%3.%4"/>
      <w:lvlJc w:val="left"/>
      <w:pPr>
        <w:tabs>
          <w:tab w:val="num" w:pos="1440"/>
        </w:tabs>
        <w:ind w:left="1440" w:hanging="1440"/>
      </w:pPr>
      <w:rPr>
        <w:rFonts w:cs="Times New Roman" w:hint="default"/>
      </w:rPr>
    </w:lvl>
    <w:lvl w:ilvl="4">
      <w:start w:val="1"/>
      <w:numFmt w:val="decimal"/>
      <w:pStyle w:val="Nagwek5"/>
      <w:lvlText w:val="%1.%2.%3.%4.%5"/>
      <w:lvlJc w:val="left"/>
      <w:pPr>
        <w:tabs>
          <w:tab w:val="num" w:pos="1440"/>
        </w:tabs>
        <w:ind w:left="1440" w:hanging="1440"/>
      </w:pPr>
      <w:rPr>
        <w:rFonts w:cs="Times New Roman" w:hint="default"/>
      </w:rPr>
    </w:lvl>
    <w:lvl w:ilvl="5">
      <w:start w:val="1"/>
      <w:numFmt w:val="decimal"/>
      <w:pStyle w:val="Nagwek6"/>
      <w:lvlText w:val="%1.%2.%3.%4.%5.%6"/>
      <w:lvlJc w:val="left"/>
      <w:pPr>
        <w:tabs>
          <w:tab w:val="num" w:pos="1440"/>
        </w:tabs>
        <w:ind w:left="1440" w:hanging="1440"/>
      </w:pPr>
      <w:rPr>
        <w:rFonts w:cs="Times New Roman" w:hint="default"/>
      </w:rPr>
    </w:lvl>
    <w:lvl w:ilvl="6">
      <w:start w:val="1"/>
      <w:numFmt w:val="decimal"/>
      <w:pStyle w:val="Nagwek7"/>
      <w:lvlText w:val="%1.%2.%3.%4.%5.%6.%7"/>
      <w:lvlJc w:val="left"/>
      <w:pPr>
        <w:tabs>
          <w:tab w:val="num" w:pos="1440"/>
        </w:tabs>
        <w:ind w:left="1440" w:hanging="1440"/>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440"/>
        </w:tabs>
        <w:ind w:left="1440" w:hanging="1440"/>
      </w:pPr>
      <w:rPr>
        <w:rFonts w:cs="Times New Roman" w:hint="default"/>
      </w:rPr>
    </w:lvl>
  </w:abstractNum>
  <w:abstractNum w:abstractNumId="12" w15:restartNumberingAfterBreak="0">
    <w:nsid w:val="36790050"/>
    <w:multiLevelType w:val="hybridMultilevel"/>
    <w:tmpl w:val="DCDEAA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A03907"/>
    <w:multiLevelType w:val="hybridMultilevel"/>
    <w:tmpl w:val="EBC44F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B502D8"/>
    <w:multiLevelType w:val="hybridMultilevel"/>
    <w:tmpl w:val="76425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DE3632"/>
    <w:multiLevelType w:val="hybridMultilevel"/>
    <w:tmpl w:val="AAFE7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D73040"/>
    <w:multiLevelType w:val="hybridMultilevel"/>
    <w:tmpl w:val="84DE9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453DC9"/>
    <w:multiLevelType w:val="singleLevel"/>
    <w:tmpl w:val="814A8090"/>
    <w:lvl w:ilvl="0">
      <w:start w:val="1"/>
      <w:numFmt w:val="bullet"/>
      <w:lvlText w:val=""/>
      <w:lvlJc w:val="left"/>
      <w:pPr>
        <w:tabs>
          <w:tab w:val="num" w:pos="709"/>
        </w:tabs>
        <w:ind w:left="709" w:hanging="709"/>
      </w:pPr>
      <w:rPr>
        <w:rFonts w:ascii="Symbol" w:hAnsi="Symbol" w:hint="default"/>
      </w:rPr>
    </w:lvl>
  </w:abstractNum>
  <w:abstractNum w:abstractNumId="18" w15:restartNumberingAfterBreak="0">
    <w:nsid w:val="74245B25"/>
    <w:multiLevelType w:val="hybridMultilevel"/>
    <w:tmpl w:val="D2160F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A6FD3"/>
    <w:multiLevelType w:val="hybridMultilevel"/>
    <w:tmpl w:val="72B89D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37540079">
    <w:abstractNumId w:val="11"/>
  </w:num>
  <w:num w:numId="2" w16cid:durableId="1056004050">
    <w:abstractNumId w:val="17"/>
  </w:num>
  <w:num w:numId="3" w16cid:durableId="135416379">
    <w:abstractNumId w:val="11"/>
    <w:lvlOverride w:ilvl="0">
      <w:startOverride w:val="9"/>
    </w:lvlOverride>
    <w:lvlOverride w:ilvl="1">
      <w:startOverride w:val="4"/>
    </w:lvlOverride>
    <w:lvlOverride w:ilvl="2">
      <w:startOverride w:val="1"/>
    </w:lvlOverride>
  </w:num>
  <w:num w:numId="4" w16cid:durableId="494880521">
    <w:abstractNumId w:val="18"/>
  </w:num>
  <w:num w:numId="5" w16cid:durableId="1876035924">
    <w:abstractNumId w:val="14"/>
  </w:num>
  <w:num w:numId="6" w16cid:durableId="1957908876">
    <w:abstractNumId w:val="10"/>
  </w:num>
  <w:num w:numId="7" w16cid:durableId="677851900">
    <w:abstractNumId w:val="19"/>
  </w:num>
  <w:num w:numId="8" w16cid:durableId="244730968">
    <w:abstractNumId w:val="15"/>
  </w:num>
  <w:num w:numId="9" w16cid:durableId="1191991065">
    <w:abstractNumId w:val="12"/>
  </w:num>
  <w:num w:numId="10" w16cid:durableId="1087262642">
    <w:abstractNumId w:val="11"/>
  </w:num>
  <w:num w:numId="11" w16cid:durableId="16193946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10018086">
    <w:abstractNumId w:val="13"/>
  </w:num>
  <w:num w:numId="13" w16cid:durableId="463735875">
    <w:abstractNumId w:val="8"/>
  </w:num>
  <w:num w:numId="14" w16cid:durableId="1948613973">
    <w:abstractNumId w:val="3"/>
  </w:num>
  <w:num w:numId="15" w16cid:durableId="816534474">
    <w:abstractNumId w:val="2"/>
  </w:num>
  <w:num w:numId="16" w16cid:durableId="132721211">
    <w:abstractNumId w:val="1"/>
  </w:num>
  <w:num w:numId="17" w16cid:durableId="1256749577">
    <w:abstractNumId w:val="0"/>
  </w:num>
  <w:num w:numId="18" w16cid:durableId="1929995918">
    <w:abstractNumId w:val="9"/>
  </w:num>
  <w:num w:numId="19" w16cid:durableId="434711675">
    <w:abstractNumId w:val="7"/>
  </w:num>
  <w:num w:numId="20" w16cid:durableId="1245992596">
    <w:abstractNumId w:val="6"/>
  </w:num>
  <w:num w:numId="21" w16cid:durableId="1785808598">
    <w:abstractNumId w:val="5"/>
  </w:num>
  <w:num w:numId="22" w16cid:durableId="1967393127">
    <w:abstractNumId w:val="4"/>
  </w:num>
  <w:num w:numId="23" w16cid:durableId="209141707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5"/>
  <w:attachedTemplate r:id="rId1"/>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RR PART B SECTION 2_BLANK TEMPLATE"/>
  </w:docVars>
  <w:rsids>
    <w:rsidRoot w:val="00773380"/>
    <w:rsid w:val="000029D9"/>
    <w:rsid w:val="00007375"/>
    <w:rsid w:val="00013966"/>
    <w:rsid w:val="00015872"/>
    <w:rsid w:val="00037497"/>
    <w:rsid w:val="00037AEE"/>
    <w:rsid w:val="000473F1"/>
    <w:rsid w:val="000540D9"/>
    <w:rsid w:val="00064659"/>
    <w:rsid w:val="000802F1"/>
    <w:rsid w:val="00092C76"/>
    <w:rsid w:val="00093CF2"/>
    <w:rsid w:val="0009569A"/>
    <w:rsid w:val="000B1192"/>
    <w:rsid w:val="000B373F"/>
    <w:rsid w:val="000B7C3B"/>
    <w:rsid w:val="000C31CC"/>
    <w:rsid w:val="000E5697"/>
    <w:rsid w:val="000F31D2"/>
    <w:rsid w:val="00115A0C"/>
    <w:rsid w:val="00121EBB"/>
    <w:rsid w:val="00126872"/>
    <w:rsid w:val="0013350E"/>
    <w:rsid w:val="001433F9"/>
    <w:rsid w:val="00153EE3"/>
    <w:rsid w:val="00156430"/>
    <w:rsid w:val="00157DDD"/>
    <w:rsid w:val="001621AA"/>
    <w:rsid w:val="001728F3"/>
    <w:rsid w:val="001852E6"/>
    <w:rsid w:val="00193196"/>
    <w:rsid w:val="001C34C5"/>
    <w:rsid w:val="001E5BCB"/>
    <w:rsid w:val="001F47BC"/>
    <w:rsid w:val="002068E3"/>
    <w:rsid w:val="00212C0A"/>
    <w:rsid w:val="00216E43"/>
    <w:rsid w:val="00231D23"/>
    <w:rsid w:val="00234B4D"/>
    <w:rsid w:val="00251703"/>
    <w:rsid w:val="00255C35"/>
    <w:rsid w:val="002616F2"/>
    <w:rsid w:val="00273F6D"/>
    <w:rsid w:val="002754D8"/>
    <w:rsid w:val="00280884"/>
    <w:rsid w:val="002808D5"/>
    <w:rsid w:val="002826AD"/>
    <w:rsid w:val="00287DB1"/>
    <w:rsid w:val="00291E58"/>
    <w:rsid w:val="00292852"/>
    <w:rsid w:val="002A0358"/>
    <w:rsid w:val="002A2C32"/>
    <w:rsid w:val="002A681A"/>
    <w:rsid w:val="002C34FE"/>
    <w:rsid w:val="002C3E22"/>
    <w:rsid w:val="002C68BC"/>
    <w:rsid w:val="002C7A7F"/>
    <w:rsid w:val="002C7C42"/>
    <w:rsid w:val="002D1A57"/>
    <w:rsid w:val="002E5DBC"/>
    <w:rsid w:val="002F48BF"/>
    <w:rsid w:val="002F6202"/>
    <w:rsid w:val="0030358D"/>
    <w:rsid w:val="003036BE"/>
    <w:rsid w:val="00305C47"/>
    <w:rsid w:val="00311FD6"/>
    <w:rsid w:val="003120C4"/>
    <w:rsid w:val="00315EF0"/>
    <w:rsid w:val="00320A97"/>
    <w:rsid w:val="00324EE0"/>
    <w:rsid w:val="003305BE"/>
    <w:rsid w:val="00340458"/>
    <w:rsid w:val="003418FD"/>
    <w:rsid w:val="003433E2"/>
    <w:rsid w:val="0034557E"/>
    <w:rsid w:val="00350767"/>
    <w:rsid w:val="00356A4F"/>
    <w:rsid w:val="00357ECC"/>
    <w:rsid w:val="0036375F"/>
    <w:rsid w:val="00364908"/>
    <w:rsid w:val="003664B9"/>
    <w:rsid w:val="00371BB1"/>
    <w:rsid w:val="003730F2"/>
    <w:rsid w:val="00374236"/>
    <w:rsid w:val="003752E2"/>
    <w:rsid w:val="00377F2E"/>
    <w:rsid w:val="003C2EF2"/>
    <w:rsid w:val="003D035B"/>
    <w:rsid w:val="003D2421"/>
    <w:rsid w:val="003D3807"/>
    <w:rsid w:val="003D7542"/>
    <w:rsid w:val="003E7B83"/>
    <w:rsid w:val="003F0765"/>
    <w:rsid w:val="004311AC"/>
    <w:rsid w:val="00440863"/>
    <w:rsid w:val="00467043"/>
    <w:rsid w:val="00474EBE"/>
    <w:rsid w:val="004B297F"/>
    <w:rsid w:val="004C0A95"/>
    <w:rsid w:val="004C72E6"/>
    <w:rsid w:val="004D0992"/>
    <w:rsid w:val="004D1648"/>
    <w:rsid w:val="004E4D25"/>
    <w:rsid w:val="004E70CD"/>
    <w:rsid w:val="004F6ECE"/>
    <w:rsid w:val="00514828"/>
    <w:rsid w:val="00522D1F"/>
    <w:rsid w:val="00526098"/>
    <w:rsid w:val="0055010D"/>
    <w:rsid w:val="00562E40"/>
    <w:rsid w:val="005638C7"/>
    <w:rsid w:val="005961F8"/>
    <w:rsid w:val="005B74DE"/>
    <w:rsid w:val="005C1383"/>
    <w:rsid w:val="005C22CA"/>
    <w:rsid w:val="005E1DCB"/>
    <w:rsid w:val="006405A4"/>
    <w:rsid w:val="00655B72"/>
    <w:rsid w:val="006741F2"/>
    <w:rsid w:val="006749EB"/>
    <w:rsid w:val="00674FE9"/>
    <w:rsid w:val="00675ECD"/>
    <w:rsid w:val="00680CC3"/>
    <w:rsid w:val="006820EC"/>
    <w:rsid w:val="00682585"/>
    <w:rsid w:val="006907FC"/>
    <w:rsid w:val="0069116C"/>
    <w:rsid w:val="006922CE"/>
    <w:rsid w:val="006974C8"/>
    <w:rsid w:val="006A0FA3"/>
    <w:rsid w:val="006B2EE4"/>
    <w:rsid w:val="006B6C97"/>
    <w:rsid w:val="006C5A7E"/>
    <w:rsid w:val="006D3F0F"/>
    <w:rsid w:val="006D680B"/>
    <w:rsid w:val="006E5C33"/>
    <w:rsid w:val="007012FF"/>
    <w:rsid w:val="007223F3"/>
    <w:rsid w:val="00732550"/>
    <w:rsid w:val="00740409"/>
    <w:rsid w:val="00773380"/>
    <w:rsid w:val="00793057"/>
    <w:rsid w:val="007A7850"/>
    <w:rsid w:val="007C3835"/>
    <w:rsid w:val="007D43B3"/>
    <w:rsid w:val="007E4D16"/>
    <w:rsid w:val="007F1E0D"/>
    <w:rsid w:val="00802D2B"/>
    <w:rsid w:val="00817AE0"/>
    <w:rsid w:val="00840915"/>
    <w:rsid w:val="008651C4"/>
    <w:rsid w:val="00876098"/>
    <w:rsid w:val="008769D8"/>
    <w:rsid w:val="00885A03"/>
    <w:rsid w:val="00893623"/>
    <w:rsid w:val="008B2A68"/>
    <w:rsid w:val="008B428C"/>
    <w:rsid w:val="008C544C"/>
    <w:rsid w:val="008D1F3A"/>
    <w:rsid w:val="008E247A"/>
    <w:rsid w:val="008E59C6"/>
    <w:rsid w:val="008F3F20"/>
    <w:rsid w:val="008F76B2"/>
    <w:rsid w:val="0090742A"/>
    <w:rsid w:val="00913047"/>
    <w:rsid w:val="009657B7"/>
    <w:rsid w:val="00965B2C"/>
    <w:rsid w:val="00967636"/>
    <w:rsid w:val="00977174"/>
    <w:rsid w:val="00986EC7"/>
    <w:rsid w:val="009A2936"/>
    <w:rsid w:val="009B5502"/>
    <w:rsid w:val="009B6A40"/>
    <w:rsid w:val="009C1054"/>
    <w:rsid w:val="009C27AB"/>
    <w:rsid w:val="009C4C3C"/>
    <w:rsid w:val="009D3A10"/>
    <w:rsid w:val="009E30FB"/>
    <w:rsid w:val="009F7CE3"/>
    <w:rsid w:val="00A10332"/>
    <w:rsid w:val="00A256F8"/>
    <w:rsid w:val="00A33A71"/>
    <w:rsid w:val="00A35E13"/>
    <w:rsid w:val="00A55025"/>
    <w:rsid w:val="00A56402"/>
    <w:rsid w:val="00A67D23"/>
    <w:rsid w:val="00A74A2D"/>
    <w:rsid w:val="00A81436"/>
    <w:rsid w:val="00A86740"/>
    <w:rsid w:val="00A96005"/>
    <w:rsid w:val="00A971BE"/>
    <w:rsid w:val="00AC3860"/>
    <w:rsid w:val="00AC4AE2"/>
    <w:rsid w:val="00AD35A9"/>
    <w:rsid w:val="00AE008D"/>
    <w:rsid w:val="00AF1FDE"/>
    <w:rsid w:val="00AF2E38"/>
    <w:rsid w:val="00AF46E1"/>
    <w:rsid w:val="00AF564B"/>
    <w:rsid w:val="00B15527"/>
    <w:rsid w:val="00B53C9E"/>
    <w:rsid w:val="00B60584"/>
    <w:rsid w:val="00B6061A"/>
    <w:rsid w:val="00B607AE"/>
    <w:rsid w:val="00B67724"/>
    <w:rsid w:val="00B67B43"/>
    <w:rsid w:val="00B715EE"/>
    <w:rsid w:val="00B716DD"/>
    <w:rsid w:val="00B747F3"/>
    <w:rsid w:val="00B74C28"/>
    <w:rsid w:val="00B837C3"/>
    <w:rsid w:val="00BB1976"/>
    <w:rsid w:val="00BB4BF0"/>
    <w:rsid w:val="00BB6B69"/>
    <w:rsid w:val="00BE72F5"/>
    <w:rsid w:val="00C14392"/>
    <w:rsid w:val="00C208BC"/>
    <w:rsid w:val="00C31707"/>
    <w:rsid w:val="00C46B19"/>
    <w:rsid w:val="00C506BA"/>
    <w:rsid w:val="00C61C06"/>
    <w:rsid w:val="00C7032B"/>
    <w:rsid w:val="00C91FAA"/>
    <w:rsid w:val="00C93100"/>
    <w:rsid w:val="00CB0D64"/>
    <w:rsid w:val="00CB7CF7"/>
    <w:rsid w:val="00CE29F0"/>
    <w:rsid w:val="00CE39B2"/>
    <w:rsid w:val="00D04AD3"/>
    <w:rsid w:val="00D05E4A"/>
    <w:rsid w:val="00D25882"/>
    <w:rsid w:val="00D452F3"/>
    <w:rsid w:val="00D54CA2"/>
    <w:rsid w:val="00D55444"/>
    <w:rsid w:val="00D60A6A"/>
    <w:rsid w:val="00D65419"/>
    <w:rsid w:val="00D942BE"/>
    <w:rsid w:val="00D97395"/>
    <w:rsid w:val="00DC1FBB"/>
    <w:rsid w:val="00DC2319"/>
    <w:rsid w:val="00DC6CB9"/>
    <w:rsid w:val="00DC7926"/>
    <w:rsid w:val="00DD38C4"/>
    <w:rsid w:val="00E05733"/>
    <w:rsid w:val="00E07B85"/>
    <w:rsid w:val="00E10A64"/>
    <w:rsid w:val="00E16300"/>
    <w:rsid w:val="00E26C41"/>
    <w:rsid w:val="00E36B9A"/>
    <w:rsid w:val="00E553B4"/>
    <w:rsid w:val="00E63310"/>
    <w:rsid w:val="00E63FBF"/>
    <w:rsid w:val="00E70DDF"/>
    <w:rsid w:val="00E96D33"/>
    <w:rsid w:val="00EA3876"/>
    <w:rsid w:val="00EB5E76"/>
    <w:rsid w:val="00ED27EF"/>
    <w:rsid w:val="00EE27EB"/>
    <w:rsid w:val="00F023D9"/>
    <w:rsid w:val="00F12922"/>
    <w:rsid w:val="00F156A4"/>
    <w:rsid w:val="00F1602C"/>
    <w:rsid w:val="00F16B54"/>
    <w:rsid w:val="00F1703E"/>
    <w:rsid w:val="00F21B39"/>
    <w:rsid w:val="00F23718"/>
    <w:rsid w:val="00F51556"/>
    <w:rsid w:val="00F51DFC"/>
    <w:rsid w:val="00F55494"/>
    <w:rsid w:val="00F55820"/>
    <w:rsid w:val="00F712C9"/>
    <w:rsid w:val="00F74850"/>
    <w:rsid w:val="00F76EB7"/>
    <w:rsid w:val="00F91D84"/>
    <w:rsid w:val="00FC12F3"/>
    <w:rsid w:val="00FC5A95"/>
    <w:rsid w:val="00FC77C3"/>
    <w:rsid w:val="00FE1D8B"/>
    <w:rsid w:val="00FE2D3D"/>
    <w:rsid w:val="01BDB989"/>
    <w:rsid w:val="025DCE13"/>
    <w:rsid w:val="04C259BF"/>
    <w:rsid w:val="08C81600"/>
    <w:rsid w:val="09ECF9C2"/>
    <w:rsid w:val="09F18C4E"/>
    <w:rsid w:val="0AE21D7B"/>
    <w:rsid w:val="0B78BD41"/>
    <w:rsid w:val="0D292D10"/>
    <w:rsid w:val="0EAA8DA3"/>
    <w:rsid w:val="0F4BA968"/>
    <w:rsid w:val="0F4C1666"/>
    <w:rsid w:val="133DFB8C"/>
    <w:rsid w:val="157A64D4"/>
    <w:rsid w:val="16D5E0BA"/>
    <w:rsid w:val="1C7FAFA1"/>
    <w:rsid w:val="1CB844FC"/>
    <w:rsid w:val="1D329EF2"/>
    <w:rsid w:val="1E1B8002"/>
    <w:rsid w:val="206C831D"/>
    <w:rsid w:val="20A78F93"/>
    <w:rsid w:val="225AC69E"/>
    <w:rsid w:val="22EEF125"/>
    <w:rsid w:val="23C19E35"/>
    <w:rsid w:val="248AC186"/>
    <w:rsid w:val="25949773"/>
    <w:rsid w:val="27C26248"/>
    <w:rsid w:val="2A30DFB9"/>
    <w:rsid w:val="31552AB6"/>
    <w:rsid w:val="33527437"/>
    <w:rsid w:val="33DFAF85"/>
    <w:rsid w:val="36C32D48"/>
    <w:rsid w:val="38A32414"/>
    <w:rsid w:val="39AAA760"/>
    <w:rsid w:val="3A32ECA9"/>
    <w:rsid w:val="3A4EF109"/>
    <w:rsid w:val="3B01E05A"/>
    <w:rsid w:val="3CB25029"/>
    <w:rsid w:val="3E496E50"/>
    <w:rsid w:val="41D6ED86"/>
    <w:rsid w:val="438BEF3D"/>
    <w:rsid w:val="438FA364"/>
    <w:rsid w:val="448D2323"/>
    <w:rsid w:val="45F93816"/>
    <w:rsid w:val="4705C613"/>
    <w:rsid w:val="49A6D365"/>
    <w:rsid w:val="4AF5C04C"/>
    <w:rsid w:val="4C9190AD"/>
    <w:rsid w:val="4F456BD9"/>
    <w:rsid w:val="52767FAC"/>
    <w:rsid w:val="53F7E03F"/>
    <w:rsid w:val="5BDF41A9"/>
    <w:rsid w:val="5DA30EF4"/>
    <w:rsid w:val="5DDEDAC2"/>
    <w:rsid w:val="605A97F6"/>
    <w:rsid w:val="60E50398"/>
    <w:rsid w:val="61834707"/>
    <w:rsid w:val="6619CC24"/>
    <w:rsid w:val="68C501B4"/>
    <w:rsid w:val="6928E27C"/>
    <w:rsid w:val="69C67AC6"/>
    <w:rsid w:val="6A48D9A3"/>
    <w:rsid w:val="6AC4B2DD"/>
    <w:rsid w:val="6F620004"/>
    <w:rsid w:val="6FB13EB8"/>
    <w:rsid w:val="70CCDA09"/>
    <w:rsid w:val="71E8F62D"/>
    <w:rsid w:val="765A8F90"/>
    <w:rsid w:val="7B05C22E"/>
    <w:rsid w:val="7BDDFBA7"/>
    <w:rsid w:val="7EB49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4693D0"/>
  <w15:docId w15:val="{F9828210-EA2C-45D0-9337-E1C81C54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6A4"/>
    <w:pPr>
      <w:tabs>
        <w:tab w:val="left" w:pos="720"/>
      </w:tabs>
      <w:spacing w:after="240"/>
    </w:pPr>
    <w:rPr>
      <w:sz w:val="24"/>
      <w:szCs w:val="24"/>
      <w:lang w:val="en-GB"/>
    </w:rPr>
  </w:style>
  <w:style w:type="paragraph" w:styleId="Nagwek1">
    <w:name w:val="heading 1"/>
    <w:basedOn w:val="Normalny"/>
    <w:next w:val="Normalny"/>
    <w:link w:val="Nagwek1Znak"/>
    <w:uiPriority w:val="99"/>
    <w:qFormat/>
    <w:rsid w:val="00F156A4"/>
    <w:pPr>
      <w:keepNext/>
      <w:keepLines/>
      <w:numPr>
        <w:numId w:val="1"/>
      </w:numPr>
      <w:tabs>
        <w:tab w:val="clear" w:pos="720"/>
      </w:tabs>
      <w:spacing w:before="240"/>
      <w:outlineLvl w:val="0"/>
    </w:pPr>
    <w:rPr>
      <w:rFonts w:cs="Arial"/>
      <w:b/>
      <w:caps/>
      <w:color w:val="000000"/>
      <w:szCs w:val="20"/>
    </w:rPr>
  </w:style>
  <w:style w:type="paragraph" w:styleId="Nagwek2">
    <w:name w:val="heading 2"/>
    <w:basedOn w:val="Nagwek1"/>
    <w:next w:val="Normalny"/>
    <w:link w:val="Nagwek2Znak"/>
    <w:uiPriority w:val="99"/>
    <w:qFormat/>
    <w:rsid w:val="00F156A4"/>
    <w:pPr>
      <w:numPr>
        <w:ilvl w:val="1"/>
      </w:numPr>
      <w:outlineLvl w:val="1"/>
    </w:pPr>
    <w:rPr>
      <w:caps w:val="0"/>
    </w:rPr>
  </w:style>
  <w:style w:type="paragraph" w:styleId="Nagwek3">
    <w:name w:val="heading 3"/>
    <w:basedOn w:val="Nagwek1"/>
    <w:next w:val="Normalny"/>
    <w:link w:val="Nagwek3Znak"/>
    <w:uiPriority w:val="99"/>
    <w:qFormat/>
    <w:rsid w:val="00F156A4"/>
    <w:pPr>
      <w:numPr>
        <w:ilvl w:val="2"/>
      </w:numPr>
      <w:outlineLvl w:val="2"/>
    </w:pPr>
    <w:rPr>
      <w:caps w:val="0"/>
    </w:rPr>
  </w:style>
  <w:style w:type="paragraph" w:styleId="Nagwek4">
    <w:name w:val="heading 4"/>
    <w:basedOn w:val="Normalny"/>
    <w:next w:val="Normalny"/>
    <w:link w:val="Nagwek4Znak"/>
    <w:uiPriority w:val="99"/>
    <w:qFormat/>
    <w:rsid w:val="00F156A4"/>
    <w:pPr>
      <w:keepNext/>
      <w:numPr>
        <w:ilvl w:val="3"/>
        <w:numId w:val="1"/>
      </w:numPr>
      <w:spacing w:before="240"/>
      <w:outlineLvl w:val="3"/>
    </w:pPr>
    <w:rPr>
      <w:rFonts w:ascii="Arial Bold" w:hAnsi="Arial Bold"/>
      <w:b/>
      <w:bCs/>
      <w:sz w:val="22"/>
      <w:szCs w:val="28"/>
    </w:rPr>
  </w:style>
  <w:style w:type="paragraph" w:styleId="Nagwek5">
    <w:name w:val="heading 5"/>
    <w:basedOn w:val="Normalny"/>
    <w:next w:val="Normalny"/>
    <w:link w:val="Nagwek5Znak"/>
    <w:uiPriority w:val="99"/>
    <w:qFormat/>
    <w:rsid w:val="00F156A4"/>
    <w:pPr>
      <w:keepNext/>
      <w:numPr>
        <w:ilvl w:val="4"/>
        <w:numId w:val="1"/>
      </w:numPr>
      <w:tabs>
        <w:tab w:val="left" w:pos="1077"/>
      </w:tabs>
      <w:spacing w:before="240"/>
      <w:outlineLvl w:val="4"/>
    </w:pPr>
    <w:rPr>
      <w:rFonts w:ascii="Arial" w:hAnsi="Arial"/>
      <w:bCs/>
      <w:iCs/>
      <w:sz w:val="22"/>
      <w:szCs w:val="26"/>
    </w:rPr>
  </w:style>
  <w:style w:type="paragraph" w:styleId="Nagwek6">
    <w:name w:val="heading 6"/>
    <w:basedOn w:val="Normalny"/>
    <w:next w:val="Normalny"/>
    <w:link w:val="Nagwek6Znak"/>
    <w:uiPriority w:val="99"/>
    <w:qFormat/>
    <w:rsid w:val="00F156A4"/>
    <w:pPr>
      <w:keepNext/>
      <w:numPr>
        <w:ilvl w:val="5"/>
        <w:numId w:val="1"/>
      </w:numPr>
      <w:tabs>
        <w:tab w:val="left" w:pos="1191"/>
      </w:tabs>
      <w:spacing w:before="240"/>
      <w:outlineLvl w:val="5"/>
    </w:pPr>
    <w:rPr>
      <w:rFonts w:ascii="Arial" w:hAnsi="Arial"/>
      <w:bCs/>
      <w:sz w:val="22"/>
      <w:szCs w:val="20"/>
    </w:rPr>
  </w:style>
  <w:style w:type="paragraph" w:styleId="Nagwek7">
    <w:name w:val="heading 7"/>
    <w:basedOn w:val="Normalny"/>
    <w:next w:val="Normalny"/>
    <w:link w:val="Nagwek7Znak"/>
    <w:uiPriority w:val="99"/>
    <w:qFormat/>
    <w:rsid w:val="00F156A4"/>
    <w:pPr>
      <w:keepNext/>
      <w:numPr>
        <w:ilvl w:val="6"/>
        <w:numId w:val="1"/>
      </w:numPr>
      <w:tabs>
        <w:tab w:val="left" w:pos="1361"/>
      </w:tabs>
      <w:spacing w:before="240"/>
      <w:outlineLvl w:val="6"/>
    </w:pPr>
    <w:rPr>
      <w:rFonts w:ascii="Arial" w:hAnsi="Arial"/>
      <w:iCs/>
      <w:sz w:val="22"/>
    </w:rPr>
  </w:style>
  <w:style w:type="paragraph" w:styleId="Nagwek8">
    <w:name w:val="heading 8"/>
    <w:basedOn w:val="Normalny"/>
    <w:next w:val="Normalny"/>
    <w:link w:val="Nagwek8Znak"/>
    <w:uiPriority w:val="99"/>
    <w:qFormat/>
    <w:rsid w:val="00F156A4"/>
    <w:pPr>
      <w:numPr>
        <w:ilvl w:val="7"/>
        <w:numId w:val="1"/>
      </w:numPr>
      <w:spacing w:before="240"/>
      <w:outlineLvl w:val="7"/>
    </w:pPr>
    <w:rPr>
      <w:rFonts w:ascii="Arial" w:hAnsi="Arial"/>
      <w:iCs/>
      <w:sz w:val="22"/>
    </w:rPr>
  </w:style>
  <w:style w:type="paragraph" w:styleId="Nagwek9">
    <w:name w:val="heading 9"/>
    <w:basedOn w:val="Normalny"/>
    <w:next w:val="Normalny"/>
    <w:link w:val="Nagwek9Znak"/>
    <w:uiPriority w:val="99"/>
    <w:qFormat/>
    <w:rsid w:val="00F156A4"/>
    <w:pPr>
      <w:numPr>
        <w:ilvl w:val="8"/>
        <w:numId w:val="1"/>
      </w:numPr>
      <w:spacing w:before="24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C72E6"/>
    <w:rPr>
      <w:rFonts w:ascii="Cambria" w:hAnsi="Cambria" w:cs="Times New Roman"/>
      <w:b/>
      <w:bCs/>
      <w:kern w:val="32"/>
      <w:sz w:val="32"/>
      <w:szCs w:val="32"/>
      <w:lang w:val="en-GB"/>
    </w:rPr>
  </w:style>
  <w:style w:type="character" w:customStyle="1" w:styleId="Nagwek2Znak">
    <w:name w:val="Nagłówek 2 Znak"/>
    <w:basedOn w:val="Domylnaczcionkaakapitu"/>
    <w:link w:val="Nagwek2"/>
    <w:uiPriority w:val="99"/>
    <w:semiHidden/>
    <w:locked/>
    <w:rsid w:val="004C72E6"/>
    <w:rPr>
      <w:rFonts w:ascii="Cambria" w:hAnsi="Cambria" w:cs="Times New Roman"/>
      <w:b/>
      <w:bCs/>
      <w:i/>
      <w:iCs/>
      <w:sz w:val="28"/>
      <w:szCs w:val="28"/>
      <w:lang w:val="en-GB"/>
    </w:rPr>
  </w:style>
  <w:style w:type="character" w:customStyle="1" w:styleId="Nagwek3Znak">
    <w:name w:val="Nagłówek 3 Znak"/>
    <w:basedOn w:val="Domylnaczcionkaakapitu"/>
    <w:link w:val="Nagwek3"/>
    <w:uiPriority w:val="99"/>
    <w:semiHidden/>
    <w:locked/>
    <w:rsid w:val="004C72E6"/>
    <w:rPr>
      <w:rFonts w:ascii="Cambria" w:hAnsi="Cambria" w:cs="Times New Roman"/>
      <w:b/>
      <w:bCs/>
      <w:sz w:val="26"/>
      <w:szCs w:val="26"/>
      <w:lang w:val="en-GB"/>
    </w:rPr>
  </w:style>
  <w:style w:type="character" w:customStyle="1" w:styleId="Nagwek4Znak">
    <w:name w:val="Nagłówek 4 Znak"/>
    <w:basedOn w:val="Domylnaczcionkaakapitu"/>
    <w:link w:val="Nagwek4"/>
    <w:uiPriority w:val="99"/>
    <w:semiHidden/>
    <w:locked/>
    <w:rsid w:val="004C72E6"/>
    <w:rPr>
      <w:rFonts w:ascii="Calibri" w:hAnsi="Calibri" w:cs="Times New Roman"/>
      <w:b/>
      <w:bCs/>
      <w:sz w:val="28"/>
      <w:szCs w:val="28"/>
      <w:lang w:val="en-GB"/>
    </w:rPr>
  </w:style>
  <w:style w:type="character" w:customStyle="1" w:styleId="Nagwek5Znak">
    <w:name w:val="Nagłówek 5 Znak"/>
    <w:basedOn w:val="Domylnaczcionkaakapitu"/>
    <w:link w:val="Nagwek5"/>
    <w:uiPriority w:val="99"/>
    <w:semiHidden/>
    <w:locked/>
    <w:rsid w:val="004C72E6"/>
    <w:rPr>
      <w:rFonts w:ascii="Calibri" w:hAnsi="Calibri" w:cs="Times New Roman"/>
      <w:b/>
      <w:bCs/>
      <w:i/>
      <w:iCs/>
      <w:sz w:val="26"/>
      <w:szCs w:val="26"/>
      <w:lang w:val="en-GB"/>
    </w:rPr>
  </w:style>
  <w:style w:type="character" w:customStyle="1" w:styleId="Nagwek6Znak">
    <w:name w:val="Nagłówek 6 Znak"/>
    <w:basedOn w:val="Domylnaczcionkaakapitu"/>
    <w:link w:val="Nagwek6"/>
    <w:uiPriority w:val="99"/>
    <w:semiHidden/>
    <w:locked/>
    <w:rsid w:val="004C72E6"/>
    <w:rPr>
      <w:rFonts w:ascii="Calibri" w:hAnsi="Calibri" w:cs="Times New Roman"/>
      <w:b/>
      <w:bCs/>
      <w:lang w:val="en-GB"/>
    </w:rPr>
  </w:style>
  <w:style w:type="character" w:customStyle="1" w:styleId="Nagwek7Znak">
    <w:name w:val="Nagłówek 7 Znak"/>
    <w:basedOn w:val="Domylnaczcionkaakapitu"/>
    <w:link w:val="Nagwek7"/>
    <w:uiPriority w:val="99"/>
    <w:semiHidden/>
    <w:locked/>
    <w:rsid w:val="004C72E6"/>
    <w:rPr>
      <w:rFonts w:ascii="Calibri" w:hAnsi="Calibri" w:cs="Times New Roman"/>
      <w:sz w:val="24"/>
      <w:szCs w:val="24"/>
      <w:lang w:val="en-GB"/>
    </w:rPr>
  </w:style>
  <w:style w:type="character" w:customStyle="1" w:styleId="Nagwek8Znak">
    <w:name w:val="Nagłówek 8 Znak"/>
    <w:basedOn w:val="Domylnaczcionkaakapitu"/>
    <w:link w:val="Nagwek8"/>
    <w:uiPriority w:val="99"/>
    <w:semiHidden/>
    <w:locked/>
    <w:rsid w:val="004C72E6"/>
    <w:rPr>
      <w:rFonts w:ascii="Calibri" w:hAnsi="Calibri" w:cs="Times New Roman"/>
      <w:i/>
      <w:iCs/>
      <w:sz w:val="24"/>
      <w:szCs w:val="24"/>
      <w:lang w:val="en-GB"/>
    </w:rPr>
  </w:style>
  <w:style w:type="character" w:customStyle="1" w:styleId="Nagwek9Znak">
    <w:name w:val="Nagłówek 9 Znak"/>
    <w:basedOn w:val="Domylnaczcionkaakapitu"/>
    <w:link w:val="Nagwek9"/>
    <w:uiPriority w:val="99"/>
    <w:semiHidden/>
    <w:locked/>
    <w:rsid w:val="004C72E6"/>
    <w:rPr>
      <w:rFonts w:ascii="Cambria" w:hAnsi="Cambria" w:cs="Times New Roman"/>
      <w:lang w:val="en-GB"/>
    </w:rPr>
  </w:style>
  <w:style w:type="paragraph" w:styleId="Nagwek">
    <w:name w:val="header"/>
    <w:basedOn w:val="Normalny"/>
    <w:link w:val="NagwekZnak"/>
    <w:uiPriority w:val="99"/>
    <w:semiHidden/>
    <w:rsid w:val="00F156A4"/>
    <w:pPr>
      <w:spacing w:after="120"/>
      <w:jc w:val="center"/>
    </w:pPr>
    <w:rPr>
      <w:rFonts w:ascii="Arial" w:hAnsi="Arial"/>
      <w:color w:val="000000"/>
      <w:sz w:val="16"/>
      <w:szCs w:val="20"/>
    </w:rPr>
  </w:style>
  <w:style w:type="character" w:customStyle="1" w:styleId="NagwekZnak">
    <w:name w:val="Nagłówek Znak"/>
    <w:basedOn w:val="Domylnaczcionkaakapitu"/>
    <w:link w:val="Nagwek"/>
    <w:uiPriority w:val="99"/>
    <w:locked/>
    <w:rsid w:val="00F156A4"/>
    <w:rPr>
      <w:rFonts w:ascii="Arial" w:hAnsi="Arial" w:cs="Times New Roman"/>
      <w:color w:val="000000"/>
      <w:sz w:val="16"/>
      <w:lang w:eastAsia="en-US"/>
    </w:rPr>
  </w:style>
  <w:style w:type="paragraph" w:styleId="Spistreci1">
    <w:name w:val="toc 1"/>
    <w:basedOn w:val="Normalny"/>
    <w:next w:val="Normalny"/>
    <w:uiPriority w:val="39"/>
    <w:rsid w:val="00F156A4"/>
    <w:pPr>
      <w:tabs>
        <w:tab w:val="clear" w:pos="720"/>
        <w:tab w:val="left" w:pos="1440"/>
        <w:tab w:val="right" w:leader="dot" w:pos="9356"/>
      </w:tabs>
      <w:spacing w:before="240" w:after="0"/>
      <w:ind w:left="1440" w:right="567" w:hanging="1440"/>
    </w:pPr>
    <w:rPr>
      <w:rFonts w:ascii="Times New Roman Bold" w:hAnsi="Times New Roman Bold"/>
      <w:b/>
      <w:noProof/>
      <w:sz w:val="28"/>
      <w:szCs w:val="28"/>
    </w:rPr>
  </w:style>
  <w:style w:type="paragraph" w:styleId="Spistreci2">
    <w:name w:val="toc 2"/>
    <w:basedOn w:val="Normalny"/>
    <w:next w:val="Normalny"/>
    <w:uiPriority w:val="99"/>
    <w:semiHidden/>
    <w:rsid w:val="00F156A4"/>
    <w:pPr>
      <w:tabs>
        <w:tab w:val="clear" w:pos="720"/>
        <w:tab w:val="left" w:pos="1440"/>
        <w:tab w:val="right" w:leader="dot" w:pos="9356"/>
      </w:tabs>
      <w:spacing w:before="120" w:after="0"/>
      <w:ind w:left="1440" w:right="567" w:hanging="1440"/>
    </w:pPr>
    <w:rPr>
      <w:rFonts w:ascii="Arial Bold" w:hAnsi="Arial Bold"/>
      <w:b/>
      <w:noProof/>
    </w:rPr>
  </w:style>
  <w:style w:type="paragraph" w:styleId="Spistreci3">
    <w:name w:val="toc 3"/>
    <w:basedOn w:val="Normalny"/>
    <w:next w:val="Normalny"/>
    <w:uiPriority w:val="99"/>
    <w:semiHidden/>
    <w:rsid w:val="00F156A4"/>
    <w:pPr>
      <w:tabs>
        <w:tab w:val="clear" w:pos="720"/>
        <w:tab w:val="left" w:pos="1440"/>
        <w:tab w:val="right" w:leader="dot" w:pos="9356"/>
      </w:tabs>
      <w:spacing w:before="120" w:after="0"/>
      <w:ind w:left="1440" w:right="567" w:hanging="1440"/>
    </w:pPr>
    <w:rPr>
      <w:rFonts w:ascii="Arial Bold" w:hAnsi="Arial Bold"/>
      <w:b/>
      <w:noProof/>
      <w:szCs w:val="22"/>
    </w:rPr>
  </w:style>
  <w:style w:type="paragraph" w:styleId="Tekstpodstawowy">
    <w:name w:val="Body Text"/>
    <w:basedOn w:val="Normalny"/>
    <w:link w:val="TekstpodstawowyZnak"/>
    <w:uiPriority w:val="99"/>
    <w:semiHidden/>
    <w:rsid w:val="00F156A4"/>
    <w:pPr>
      <w:overflowPunct w:val="0"/>
      <w:autoSpaceDE w:val="0"/>
      <w:autoSpaceDN w:val="0"/>
      <w:adjustRightInd w:val="0"/>
      <w:jc w:val="both"/>
      <w:textAlignment w:val="baseline"/>
    </w:pPr>
    <w:rPr>
      <w:szCs w:val="20"/>
    </w:rPr>
  </w:style>
  <w:style w:type="character" w:customStyle="1" w:styleId="TekstpodstawowyZnak">
    <w:name w:val="Tekst podstawowy Znak"/>
    <w:basedOn w:val="Domylnaczcionkaakapitu"/>
    <w:link w:val="Tekstpodstawowy"/>
    <w:uiPriority w:val="99"/>
    <w:semiHidden/>
    <w:locked/>
    <w:rsid w:val="004C72E6"/>
    <w:rPr>
      <w:rFonts w:cs="Times New Roman"/>
      <w:sz w:val="24"/>
      <w:szCs w:val="24"/>
      <w:lang w:val="en-GB"/>
    </w:rPr>
  </w:style>
  <w:style w:type="paragraph" w:styleId="Tekstprzypisudolnego">
    <w:name w:val="footnote text"/>
    <w:aliases w:val="Tabellenanmerkung"/>
    <w:basedOn w:val="Normalny"/>
    <w:link w:val="TekstprzypisudolnegoZnak"/>
    <w:semiHidden/>
    <w:rsid w:val="00F156A4"/>
    <w:pPr>
      <w:spacing w:after="0"/>
      <w:ind w:left="142" w:hanging="142"/>
    </w:pPr>
    <w:rPr>
      <w:sz w:val="20"/>
      <w:szCs w:val="20"/>
    </w:rPr>
  </w:style>
  <w:style w:type="character" w:customStyle="1" w:styleId="TekstprzypisudolnegoZnak">
    <w:name w:val="Tekst przypisu dolnego Znak"/>
    <w:aliases w:val="Tabellenanmerkung Znak"/>
    <w:basedOn w:val="Domylnaczcionkaakapitu"/>
    <w:link w:val="Tekstprzypisudolnego"/>
    <w:uiPriority w:val="99"/>
    <w:locked/>
    <w:rsid w:val="00F156A4"/>
    <w:rPr>
      <w:rFonts w:cs="Times New Roman"/>
      <w:lang w:eastAsia="en-US"/>
    </w:rPr>
  </w:style>
  <w:style w:type="paragraph" w:customStyle="1" w:styleId="TableText">
    <w:name w:val="Table Text"/>
    <w:basedOn w:val="Normalny"/>
    <w:uiPriority w:val="99"/>
    <w:rsid w:val="00F156A4"/>
    <w:pPr>
      <w:overflowPunct w:val="0"/>
      <w:autoSpaceDE w:val="0"/>
      <w:autoSpaceDN w:val="0"/>
      <w:adjustRightInd w:val="0"/>
      <w:spacing w:before="40" w:after="40"/>
      <w:textAlignment w:val="baseline"/>
    </w:pPr>
    <w:rPr>
      <w:sz w:val="20"/>
      <w:szCs w:val="20"/>
    </w:rPr>
  </w:style>
  <w:style w:type="character" w:styleId="Odwoanieprzypisudolnego">
    <w:name w:val="footnote reference"/>
    <w:basedOn w:val="Domylnaczcionkaakapitu"/>
    <w:uiPriority w:val="99"/>
    <w:semiHidden/>
    <w:rsid w:val="00F156A4"/>
    <w:rPr>
      <w:rFonts w:cs="Times New Roman"/>
      <w:vertAlign w:val="superscript"/>
    </w:rPr>
  </w:style>
  <w:style w:type="paragraph" w:customStyle="1" w:styleId="SubTitle">
    <w:name w:val="Sub_Title"/>
    <w:basedOn w:val="Normalny"/>
    <w:next w:val="Normalny"/>
    <w:uiPriority w:val="99"/>
    <w:rsid w:val="00F156A4"/>
    <w:pPr>
      <w:spacing w:before="480" w:after="480"/>
      <w:ind w:left="851" w:right="851"/>
      <w:jc w:val="center"/>
    </w:pPr>
    <w:rPr>
      <w:rFonts w:ascii="Arial Bold" w:hAnsi="Arial Bold"/>
      <w:b/>
      <w:bCs/>
      <w:sz w:val="32"/>
    </w:rPr>
  </w:style>
  <w:style w:type="paragraph" w:styleId="Stopka">
    <w:name w:val="footer"/>
    <w:basedOn w:val="Normalny"/>
    <w:link w:val="StopkaZnak"/>
    <w:uiPriority w:val="99"/>
    <w:semiHidden/>
    <w:rsid w:val="00F156A4"/>
    <w:pPr>
      <w:tabs>
        <w:tab w:val="right" w:pos="9356"/>
      </w:tabs>
      <w:spacing w:after="0"/>
    </w:pPr>
    <w:rPr>
      <w:rFonts w:ascii="Arial" w:hAnsi="Arial"/>
      <w:sz w:val="16"/>
      <w:szCs w:val="20"/>
    </w:rPr>
  </w:style>
  <w:style w:type="character" w:customStyle="1" w:styleId="StopkaZnak">
    <w:name w:val="Stopka Znak"/>
    <w:basedOn w:val="Domylnaczcionkaakapitu"/>
    <w:link w:val="Stopka"/>
    <w:uiPriority w:val="99"/>
    <w:semiHidden/>
    <w:locked/>
    <w:rsid w:val="009C27AB"/>
    <w:rPr>
      <w:rFonts w:ascii="Arial" w:hAnsi="Arial" w:cs="Times New Roman"/>
      <w:sz w:val="16"/>
      <w:lang w:val="en-GB" w:eastAsia="en-US"/>
    </w:rPr>
  </w:style>
  <w:style w:type="paragraph" w:styleId="Spistreci4">
    <w:name w:val="toc 4"/>
    <w:basedOn w:val="Normalny"/>
    <w:next w:val="Normalny"/>
    <w:uiPriority w:val="99"/>
    <w:semiHidden/>
    <w:rsid w:val="00F156A4"/>
    <w:pPr>
      <w:tabs>
        <w:tab w:val="clear" w:pos="720"/>
        <w:tab w:val="left" w:pos="1440"/>
        <w:tab w:val="right" w:leader="dot" w:pos="9356"/>
      </w:tabs>
      <w:spacing w:before="120" w:after="0"/>
      <w:ind w:left="1440" w:right="567" w:hanging="1440"/>
    </w:pPr>
    <w:rPr>
      <w:rFonts w:ascii="Arial Bold" w:hAnsi="Arial Bold"/>
      <w:b/>
      <w:sz w:val="22"/>
    </w:rPr>
  </w:style>
  <w:style w:type="paragraph" w:styleId="Spistreci5">
    <w:name w:val="toc 5"/>
    <w:basedOn w:val="Normalny"/>
    <w:next w:val="Normalny"/>
    <w:uiPriority w:val="99"/>
    <w:semiHidden/>
    <w:rsid w:val="00F156A4"/>
    <w:pPr>
      <w:tabs>
        <w:tab w:val="left" w:pos="1134"/>
        <w:tab w:val="right" w:leader="dot" w:pos="9356"/>
      </w:tabs>
      <w:spacing w:before="120" w:after="0"/>
      <w:ind w:left="1134" w:right="567" w:hanging="1134"/>
    </w:pPr>
    <w:rPr>
      <w:rFonts w:ascii="Arial" w:hAnsi="Arial"/>
      <w:sz w:val="22"/>
    </w:rPr>
  </w:style>
  <w:style w:type="paragraph" w:styleId="Spistreci6">
    <w:name w:val="toc 6"/>
    <w:basedOn w:val="Normalny"/>
    <w:next w:val="Normalny"/>
    <w:uiPriority w:val="99"/>
    <w:semiHidden/>
    <w:rsid w:val="00F156A4"/>
    <w:pPr>
      <w:tabs>
        <w:tab w:val="left" w:pos="1134"/>
        <w:tab w:val="right" w:leader="dot" w:pos="9356"/>
      </w:tabs>
      <w:spacing w:before="120" w:after="0"/>
      <w:ind w:left="1134" w:right="567" w:hanging="1134"/>
    </w:pPr>
    <w:rPr>
      <w:rFonts w:ascii="Arial" w:hAnsi="Arial"/>
      <w:noProof/>
      <w:sz w:val="22"/>
    </w:rPr>
  </w:style>
  <w:style w:type="paragraph" w:customStyle="1" w:styleId="TableText9pt">
    <w:name w:val="Table Text 9pt"/>
    <w:basedOn w:val="Normalny"/>
    <w:uiPriority w:val="99"/>
    <w:rsid w:val="00F156A4"/>
    <w:pPr>
      <w:spacing w:before="40" w:after="40"/>
      <w:jc w:val="center"/>
    </w:pPr>
    <w:rPr>
      <w:sz w:val="18"/>
    </w:rPr>
  </w:style>
  <w:style w:type="paragraph" w:styleId="Zwykytekst">
    <w:name w:val="Plain Text"/>
    <w:basedOn w:val="Normalny"/>
    <w:link w:val="ZwykytekstZnak"/>
    <w:uiPriority w:val="99"/>
    <w:semiHidden/>
    <w:rsid w:val="00F156A4"/>
    <w:pPr>
      <w:spacing w:before="60" w:after="60"/>
    </w:pPr>
    <w:rPr>
      <w:rFonts w:cs="Courier New"/>
      <w:sz w:val="20"/>
      <w:szCs w:val="20"/>
    </w:rPr>
  </w:style>
  <w:style w:type="character" w:customStyle="1" w:styleId="ZwykytekstZnak">
    <w:name w:val="Zwykły tekst Znak"/>
    <w:basedOn w:val="Domylnaczcionkaakapitu"/>
    <w:link w:val="Zwykytekst"/>
    <w:uiPriority w:val="99"/>
    <w:semiHidden/>
    <w:locked/>
    <w:rsid w:val="004C72E6"/>
    <w:rPr>
      <w:rFonts w:ascii="Courier New" w:hAnsi="Courier New" w:cs="Courier New"/>
      <w:sz w:val="20"/>
      <w:szCs w:val="20"/>
      <w:lang w:val="en-GB"/>
    </w:rPr>
  </w:style>
  <w:style w:type="paragraph" w:styleId="Tytu">
    <w:name w:val="Title"/>
    <w:basedOn w:val="Normalny"/>
    <w:link w:val="TytuZnak"/>
    <w:uiPriority w:val="99"/>
    <w:qFormat/>
    <w:rsid w:val="00F156A4"/>
    <w:pPr>
      <w:spacing w:before="480" w:after="480"/>
      <w:ind w:left="851" w:right="851"/>
      <w:jc w:val="center"/>
    </w:pPr>
    <w:rPr>
      <w:rFonts w:ascii="Arial Bold" w:hAnsi="Arial Bold" w:cs="Arial"/>
      <w:b/>
      <w:bCs/>
      <w:kern w:val="28"/>
      <w:sz w:val="40"/>
      <w:szCs w:val="32"/>
    </w:rPr>
  </w:style>
  <w:style w:type="character" w:customStyle="1" w:styleId="TytuZnak">
    <w:name w:val="Tytuł Znak"/>
    <w:basedOn w:val="Domylnaczcionkaakapitu"/>
    <w:link w:val="Tytu"/>
    <w:uiPriority w:val="99"/>
    <w:locked/>
    <w:rsid w:val="004C72E6"/>
    <w:rPr>
      <w:rFonts w:ascii="Cambria" w:hAnsi="Cambria" w:cs="Times New Roman"/>
      <w:b/>
      <w:bCs/>
      <w:kern w:val="28"/>
      <w:sz w:val="32"/>
      <w:szCs w:val="32"/>
      <w:lang w:val="en-GB"/>
    </w:rPr>
  </w:style>
  <w:style w:type="paragraph" w:customStyle="1" w:styleId="PointTitle">
    <w:name w:val="PointTitle"/>
    <w:basedOn w:val="Normalny"/>
    <w:uiPriority w:val="99"/>
    <w:rsid w:val="00F156A4"/>
    <w:pPr>
      <w:spacing w:before="480" w:after="480"/>
      <w:ind w:left="851" w:right="851"/>
      <w:jc w:val="center"/>
    </w:pPr>
    <w:rPr>
      <w:rFonts w:ascii="Arial Bold" w:hAnsi="Arial Bold" w:cs="Arial"/>
      <w:b/>
      <w:bCs/>
      <w:sz w:val="28"/>
    </w:rPr>
  </w:style>
  <w:style w:type="paragraph" w:customStyle="1" w:styleId="Bullet">
    <w:name w:val="Bullet"/>
    <w:basedOn w:val="Normalny"/>
    <w:uiPriority w:val="99"/>
    <w:rsid w:val="00F156A4"/>
    <w:pPr>
      <w:tabs>
        <w:tab w:val="num" w:pos="360"/>
      </w:tabs>
      <w:spacing w:after="120"/>
      <w:ind w:left="360" w:hanging="360"/>
    </w:pPr>
  </w:style>
  <w:style w:type="paragraph" w:styleId="Legenda">
    <w:name w:val="caption"/>
    <w:aliases w:val="o,o + Links"/>
    <w:basedOn w:val="Normalny"/>
    <w:next w:val="Normalny"/>
    <w:uiPriority w:val="99"/>
    <w:qFormat/>
    <w:rsid w:val="00F156A4"/>
    <w:pPr>
      <w:keepNext/>
      <w:spacing w:after="120"/>
    </w:pPr>
    <w:rPr>
      <w:rFonts w:ascii="Arial Bold" w:hAnsi="Arial Bold"/>
      <w:b/>
      <w:bCs/>
      <w:sz w:val="20"/>
      <w:szCs w:val="20"/>
    </w:rPr>
  </w:style>
  <w:style w:type="paragraph" w:customStyle="1" w:styleId="TableText8pt">
    <w:name w:val="Table Text 8pt"/>
    <w:basedOn w:val="TableText9pt"/>
    <w:uiPriority w:val="99"/>
    <w:rsid w:val="00F156A4"/>
    <w:rPr>
      <w:sz w:val="16"/>
    </w:rPr>
  </w:style>
  <w:style w:type="paragraph" w:customStyle="1" w:styleId="TableFootnote">
    <w:name w:val="Table Footnote"/>
    <w:basedOn w:val="Normalny"/>
    <w:uiPriority w:val="99"/>
    <w:rsid w:val="00F156A4"/>
    <w:pPr>
      <w:spacing w:after="0"/>
    </w:pPr>
    <w:rPr>
      <w:sz w:val="18"/>
    </w:rPr>
  </w:style>
  <w:style w:type="paragraph" w:customStyle="1" w:styleId="TableHeader9pt">
    <w:name w:val="Table Header 9pt"/>
    <w:basedOn w:val="Normalny"/>
    <w:uiPriority w:val="99"/>
    <w:rsid w:val="00F156A4"/>
    <w:pPr>
      <w:keepNext/>
      <w:spacing w:before="40" w:after="40"/>
      <w:jc w:val="center"/>
    </w:pPr>
    <w:rPr>
      <w:b/>
      <w:sz w:val="18"/>
    </w:rPr>
  </w:style>
  <w:style w:type="paragraph" w:customStyle="1" w:styleId="TableHeader8pt">
    <w:name w:val="Table Header 8pt"/>
    <w:basedOn w:val="TableHeader9pt"/>
    <w:uiPriority w:val="99"/>
    <w:rsid w:val="00F156A4"/>
    <w:rPr>
      <w:sz w:val="16"/>
    </w:rPr>
  </w:style>
  <w:style w:type="paragraph" w:customStyle="1" w:styleId="LetterBanner">
    <w:name w:val="LetterBanner"/>
    <w:basedOn w:val="Normalny"/>
    <w:next w:val="Normalny"/>
    <w:uiPriority w:val="99"/>
    <w:rsid w:val="00F156A4"/>
    <w:pPr>
      <w:keepNext/>
      <w:keepLines/>
      <w:shd w:val="clear" w:color="auto" w:fill="0000FF"/>
    </w:pPr>
    <w:rPr>
      <w:rFonts w:ascii="Arial" w:hAnsi="Arial"/>
      <w:b/>
      <w:color w:val="FFFFFF"/>
      <w:sz w:val="20"/>
    </w:rPr>
  </w:style>
  <w:style w:type="paragraph" w:customStyle="1" w:styleId="Headnonum">
    <w:name w:val="Headnonum"/>
    <w:basedOn w:val="Normalny"/>
    <w:next w:val="Normalny"/>
    <w:uiPriority w:val="99"/>
    <w:rsid w:val="00F156A4"/>
    <w:pPr>
      <w:tabs>
        <w:tab w:val="left" w:pos="5103"/>
      </w:tabs>
      <w:spacing w:before="240"/>
      <w:ind w:left="743" w:hanging="743"/>
    </w:pPr>
    <w:rPr>
      <w:rFonts w:ascii="Arial" w:hAnsi="Arial"/>
      <w:b/>
      <w:sz w:val="22"/>
      <w:szCs w:val="20"/>
    </w:rPr>
  </w:style>
  <w:style w:type="paragraph" w:styleId="Wcicienormalne">
    <w:name w:val="Normal Indent"/>
    <w:basedOn w:val="Normalny"/>
    <w:uiPriority w:val="99"/>
    <w:semiHidden/>
    <w:rsid w:val="00F156A4"/>
    <w:pPr>
      <w:ind w:left="1440"/>
    </w:pPr>
  </w:style>
  <w:style w:type="paragraph" w:styleId="Spistreci7">
    <w:name w:val="toc 7"/>
    <w:basedOn w:val="Spistreci6"/>
    <w:next w:val="Normalny"/>
    <w:uiPriority w:val="99"/>
    <w:semiHidden/>
    <w:rsid w:val="00F156A4"/>
    <w:rPr>
      <w:sz w:val="20"/>
    </w:rPr>
  </w:style>
  <w:style w:type="paragraph" w:styleId="Spistreci8">
    <w:name w:val="toc 8"/>
    <w:basedOn w:val="Spistreci7"/>
    <w:next w:val="Normalny"/>
    <w:uiPriority w:val="99"/>
    <w:semiHidden/>
    <w:rsid w:val="00F156A4"/>
  </w:style>
  <w:style w:type="paragraph" w:styleId="Spistreci9">
    <w:name w:val="toc 9"/>
    <w:basedOn w:val="Spistreci8"/>
    <w:next w:val="Normalny"/>
    <w:uiPriority w:val="99"/>
    <w:semiHidden/>
    <w:rsid w:val="00F156A4"/>
  </w:style>
  <w:style w:type="paragraph" w:customStyle="1" w:styleId="TableHeadingTOC">
    <w:name w:val="TableHeadingTOC"/>
    <w:basedOn w:val="Normalny"/>
    <w:uiPriority w:val="99"/>
    <w:rsid w:val="00F156A4"/>
    <w:pPr>
      <w:spacing w:before="120" w:after="120"/>
      <w:ind w:left="743" w:hanging="743"/>
    </w:pPr>
    <w:rPr>
      <w:rFonts w:ascii="Arial" w:hAnsi="Arial"/>
      <w:b/>
      <w:sz w:val="22"/>
      <w:szCs w:val="20"/>
    </w:rPr>
  </w:style>
  <w:style w:type="paragraph" w:customStyle="1" w:styleId="PlainHeading12pt">
    <w:name w:val="Plain Heading 12pt"/>
    <w:basedOn w:val="Normalny"/>
    <w:next w:val="Normalny"/>
    <w:uiPriority w:val="99"/>
    <w:rsid w:val="00F156A4"/>
    <w:pPr>
      <w:keepNext/>
      <w:keepLines/>
      <w:spacing w:before="240"/>
    </w:pPr>
    <w:rPr>
      <w:rFonts w:ascii="Arial Bold" w:hAnsi="Arial Bold"/>
      <w:b/>
    </w:rPr>
  </w:style>
  <w:style w:type="paragraph" w:customStyle="1" w:styleId="TableText10pt">
    <w:name w:val="Table Text 10pt"/>
    <w:basedOn w:val="TableText9pt"/>
    <w:uiPriority w:val="99"/>
    <w:rsid w:val="00F156A4"/>
    <w:pPr>
      <w:overflowPunct w:val="0"/>
      <w:autoSpaceDE w:val="0"/>
      <w:autoSpaceDN w:val="0"/>
      <w:adjustRightInd w:val="0"/>
      <w:spacing w:before="0" w:after="0"/>
      <w:jc w:val="left"/>
      <w:textAlignment w:val="baseline"/>
    </w:pPr>
    <w:rPr>
      <w:sz w:val="20"/>
      <w:szCs w:val="20"/>
    </w:rPr>
  </w:style>
  <w:style w:type="paragraph" w:customStyle="1" w:styleId="NormalNoSpaceAfter">
    <w:name w:val="Normal NoSpaceAfter"/>
    <w:basedOn w:val="Normalny"/>
    <w:uiPriority w:val="99"/>
    <w:rsid w:val="00F156A4"/>
    <w:pPr>
      <w:spacing w:after="0"/>
    </w:pPr>
  </w:style>
  <w:style w:type="character" w:styleId="Odwoaniedokomentarza">
    <w:name w:val="annotation reference"/>
    <w:basedOn w:val="Domylnaczcionkaakapitu"/>
    <w:uiPriority w:val="99"/>
    <w:semiHidden/>
    <w:rsid w:val="00F156A4"/>
    <w:rPr>
      <w:rFonts w:cs="Times New Roman"/>
      <w:sz w:val="16"/>
      <w:szCs w:val="16"/>
    </w:rPr>
  </w:style>
  <w:style w:type="paragraph" w:styleId="Tekstkomentarza">
    <w:name w:val="annotation text"/>
    <w:basedOn w:val="Normalny"/>
    <w:link w:val="TekstkomentarzaZnak"/>
    <w:uiPriority w:val="99"/>
    <w:semiHidden/>
    <w:rsid w:val="00F156A4"/>
    <w:rPr>
      <w:sz w:val="20"/>
      <w:szCs w:val="20"/>
    </w:rPr>
  </w:style>
  <w:style w:type="character" w:customStyle="1" w:styleId="TekstkomentarzaZnak">
    <w:name w:val="Tekst komentarza Znak"/>
    <w:basedOn w:val="Domylnaczcionkaakapitu"/>
    <w:link w:val="Tekstkomentarza"/>
    <w:uiPriority w:val="99"/>
    <w:semiHidden/>
    <w:locked/>
    <w:rsid w:val="00773380"/>
    <w:rPr>
      <w:rFonts w:cs="Times New Roman"/>
      <w:lang w:val="en-GB" w:eastAsia="en-US"/>
    </w:rPr>
  </w:style>
  <w:style w:type="character" w:styleId="Hipercze">
    <w:name w:val="Hyperlink"/>
    <w:basedOn w:val="Domylnaczcionkaakapitu"/>
    <w:uiPriority w:val="99"/>
    <w:rsid w:val="00F156A4"/>
    <w:rPr>
      <w:rFonts w:cs="Times New Roman"/>
      <w:color w:val="0000FF"/>
      <w:u w:val="single"/>
    </w:rPr>
  </w:style>
  <w:style w:type="paragraph" w:customStyle="1" w:styleId="TableText12pt">
    <w:name w:val="Table Text 12pt"/>
    <w:basedOn w:val="Normalny"/>
    <w:uiPriority w:val="99"/>
    <w:rsid w:val="00F156A4"/>
    <w:pPr>
      <w:spacing w:before="120" w:after="120"/>
    </w:pPr>
  </w:style>
  <w:style w:type="paragraph" w:customStyle="1" w:styleId="PlainHeading10pt">
    <w:name w:val="Plain Heading 10pt"/>
    <w:basedOn w:val="PlainHeading12pt"/>
    <w:uiPriority w:val="99"/>
    <w:rsid w:val="00F156A4"/>
    <w:rPr>
      <w:sz w:val="20"/>
    </w:rPr>
  </w:style>
  <w:style w:type="paragraph" w:styleId="Mapadokumentu">
    <w:name w:val="Document Map"/>
    <w:basedOn w:val="Normalny"/>
    <w:link w:val="MapadokumentuZnak"/>
    <w:uiPriority w:val="99"/>
    <w:semiHidden/>
    <w:rsid w:val="00F156A4"/>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locked/>
    <w:rsid w:val="004C72E6"/>
    <w:rPr>
      <w:rFonts w:cs="Times New Roman"/>
      <w:sz w:val="2"/>
      <w:lang w:val="en-GB"/>
    </w:rPr>
  </w:style>
  <w:style w:type="character" w:styleId="Numerstrony">
    <w:name w:val="page number"/>
    <w:basedOn w:val="Domylnaczcionkaakapitu"/>
    <w:uiPriority w:val="99"/>
    <w:semiHidden/>
    <w:rsid w:val="00F156A4"/>
    <w:rPr>
      <w:rFonts w:cs="Times New Roman"/>
    </w:rPr>
  </w:style>
  <w:style w:type="paragraph" w:customStyle="1" w:styleId="Up">
    <w:name w:val="Up"/>
    <w:uiPriority w:val="99"/>
    <w:rsid w:val="00F156A4"/>
    <w:pPr>
      <w:spacing w:after="240"/>
    </w:pPr>
    <w:rPr>
      <w:sz w:val="24"/>
      <w:szCs w:val="20"/>
      <w:lang w:val="en-GB"/>
    </w:rPr>
  </w:style>
  <w:style w:type="paragraph" w:customStyle="1" w:styleId="NormalBold">
    <w:name w:val="Normal Bold"/>
    <w:basedOn w:val="Normalny"/>
    <w:uiPriority w:val="99"/>
    <w:rsid w:val="00F156A4"/>
    <w:rPr>
      <w:b/>
      <w:bCs/>
    </w:rPr>
  </w:style>
  <w:style w:type="paragraph" w:customStyle="1" w:styleId="TOCNONUK">
    <w:name w:val="TOCNONUK"/>
    <w:uiPriority w:val="99"/>
    <w:rsid w:val="00F156A4"/>
    <w:pPr>
      <w:spacing w:after="240"/>
    </w:pPr>
    <w:rPr>
      <w:sz w:val="24"/>
      <w:szCs w:val="24"/>
      <w:lang w:val="en-GB"/>
    </w:rPr>
  </w:style>
  <w:style w:type="paragraph" w:customStyle="1" w:styleId="TOCUK">
    <w:name w:val="TOCUK"/>
    <w:uiPriority w:val="99"/>
    <w:rsid w:val="00F156A4"/>
    <w:pPr>
      <w:spacing w:after="240"/>
    </w:pPr>
    <w:rPr>
      <w:sz w:val="24"/>
      <w:szCs w:val="24"/>
      <w:lang w:val="en-GB"/>
    </w:rPr>
  </w:style>
  <w:style w:type="paragraph" w:customStyle="1" w:styleId="ZAutoTextSyngentaBWLogo">
    <w:name w:val="ZAutoTextSyngentaBWLogo"/>
    <w:uiPriority w:val="99"/>
    <w:rsid w:val="00F156A4"/>
    <w:rPr>
      <w:sz w:val="3276"/>
      <w:szCs w:val="3276"/>
      <w:lang w:val="en-GB"/>
    </w:rPr>
  </w:style>
  <w:style w:type="paragraph" w:customStyle="1" w:styleId="Ballontekst1">
    <w:name w:val="Ballontekst1"/>
    <w:basedOn w:val="Normalny"/>
    <w:uiPriority w:val="99"/>
    <w:semiHidden/>
    <w:rsid w:val="00F156A4"/>
    <w:rPr>
      <w:rFonts w:ascii="Tahoma" w:hAnsi="Tahoma" w:cs="Tahoma"/>
      <w:sz w:val="16"/>
      <w:szCs w:val="16"/>
    </w:rPr>
  </w:style>
  <w:style w:type="paragraph" w:styleId="Tematkomentarza">
    <w:name w:val="annotation subject"/>
    <w:basedOn w:val="Tekstkomentarza"/>
    <w:next w:val="Tekstkomentarza"/>
    <w:link w:val="TematkomentarzaZnak"/>
    <w:uiPriority w:val="99"/>
    <w:semiHidden/>
    <w:rsid w:val="00773380"/>
    <w:rPr>
      <w:b/>
      <w:bCs/>
    </w:rPr>
  </w:style>
  <w:style w:type="character" w:customStyle="1" w:styleId="TematkomentarzaZnak">
    <w:name w:val="Temat komentarza Znak"/>
    <w:basedOn w:val="TekstkomentarzaZnak"/>
    <w:link w:val="Tematkomentarza"/>
    <w:uiPriority w:val="99"/>
    <w:locked/>
    <w:rsid w:val="00773380"/>
    <w:rPr>
      <w:rFonts w:cs="Times New Roman"/>
      <w:lang w:val="en-GB" w:eastAsia="en-US"/>
    </w:rPr>
  </w:style>
  <w:style w:type="character" w:customStyle="1" w:styleId="NormalNoSpaceAfterChar">
    <w:name w:val="Normal NoSpaceAfter Char"/>
    <w:basedOn w:val="Domylnaczcionkaakapitu"/>
    <w:uiPriority w:val="99"/>
    <w:rsid w:val="00F156A4"/>
    <w:rPr>
      <w:rFonts w:cs="Times New Roman"/>
      <w:sz w:val="24"/>
      <w:szCs w:val="24"/>
      <w:lang w:val="en-GB" w:eastAsia="en-US" w:bidi="ar-SA"/>
    </w:rPr>
  </w:style>
  <w:style w:type="character" w:customStyle="1" w:styleId="CaptionChar">
    <w:name w:val="Caption Char"/>
    <w:aliases w:val="o Char,o + Links Char"/>
    <w:basedOn w:val="Domylnaczcionkaakapitu"/>
    <w:uiPriority w:val="99"/>
    <w:rsid w:val="00F156A4"/>
    <w:rPr>
      <w:rFonts w:ascii="Arial Bold" w:hAnsi="Arial Bold" w:cs="Times New Roman"/>
      <w:b/>
      <w:bCs/>
      <w:lang w:val="en-GB" w:eastAsia="en-US" w:bidi="ar-SA"/>
    </w:rPr>
  </w:style>
  <w:style w:type="paragraph" w:customStyle="1" w:styleId="HeadingAnnex">
    <w:name w:val="Heading Annex"/>
    <w:basedOn w:val="Normalny"/>
    <w:next w:val="Normalny"/>
    <w:uiPriority w:val="99"/>
    <w:rsid w:val="00F156A4"/>
    <w:pPr>
      <w:tabs>
        <w:tab w:val="clear" w:pos="720"/>
      </w:tabs>
      <w:autoSpaceDE w:val="0"/>
      <w:autoSpaceDN w:val="0"/>
      <w:spacing w:after="0"/>
      <w:jc w:val="center"/>
    </w:pPr>
    <w:rPr>
      <w:rFonts w:ascii="Arial" w:hAnsi="Arial" w:cs="Arial"/>
      <w:b/>
      <w:bCs/>
      <w:color w:val="000000"/>
      <w:sz w:val="28"/>
      <w:szCs w:val="28"/>
      <w:lang w:eastAsia="en-GB"/>
    </w:rPr>
  </w:style>
  <w:style w:type="paragraph" w:customStyle="1" w:styleId="OECD-Title-page">
    <w:name w:val="OECD-Title-page"/>
    <w:next w:val="Normalny"/>
    <w:autoRedefine/>
    <w:uiPriority w:val="99"/>
    <w:rsid w:val="006922CE"/>
    <w:pPr>
      <w:tabs>
        <w:tab w:val="left" w:pos="4415"/>
      </w:tabs>
      <w:spacing w:before="120" w:after="120"/>
      <w:jc w:val="center"/>
    </w:pPr>
    <w:rPr>
      <w:b/>
      <w:bCs/>
      <w:sz w:val="32"/>
      <w:szCs w:val="28"/>
      <w:lang w:val="en-GB"/>
    </w:rPr>
  </w:style>
  <w:style w:type="paragraph" w:customStyle="1" w:styleId="StyleOECD-Title-page18pt">
    <w:name w:val="Style OECD-Title-page + 18 pt"/>
    <w:basedOn w:val="OECD-Title-page"/>
    <w:uiPriority w:val="99"/>
    <w:rsid w:val="00F156A4"/>
    <w:rPr>
      <w:sz w:val="36"/>
    </w:rPr>
  </w:style>
  <w:style w:type="paragraph" w:customStyle="1" w:styleId="OECD-HeadLine1">
    <w:name w:val="OECD-HeadLine 1"/>
    <w:next w:val="Normalny"/>
    <w:uiPriority w:val="99"/>
    <w:rsid w:val="00F156A4"/>
    <w:pPr>
      <w:widowControl w:val="0"/>
      <w:tabs>
        <w:tab w:val="left" w:pos="1440"/>
      </w:tabs>
      <w:spacing w:before="240" w:after="120"/>
      <w:ind w:left="1440" w:hanging="1440"/>
    </w:pPr>
    <w:rPr>
      <w:b/>
      <w:noProof/>
      <w:sz w:val="24"/>
      <w:szCs w:val="20"/>
      <w:lang w:val="en-GB"/>
    </w:rPr>
  </w:style>
  <w:style w:type="paragraph" w:customStyle="1" w:styleId="OECD-BASIS-TEXT">
    <w:name w:val="OECD-BASIS-TEXT"/>
    <w:aliases w:val="BT"/>
    <w:qFormat/>
    <w:rsid w:val="00F156A4"/>
    <w:pPr>
      <w:tabs>
        <w:tab w:val="left" w:pos="720"/>
      </w:tabs>
      <w:spacing w:line="280" w:lineRule="exact"/>
      <w:jc w:val="both"/>
    </w:pPr>
    <w:rPr>
      <w:color w:val="000000"/>
      <w:lang w:val="en-GB"/>
    </w:rPr>
  </w:style>
  <w:style w:type="character" w:customStyle="1" w:styleId="OECD-BASIS-TEXTChar">
    <w:name w:val="OECD-BASIS-TEXT Char"/>
    <w:aliases w:val="BT Char"/>
    <w:basedOn w:val="Domylnaczcionkaakapitu"/>
    <w:uiPriority w:val="99"/>
    <w:rsid w:val="00F156A4"/>
    <w:rPr>
      <w:rFonts w:cs="Times New Roman"/>
      <w:color w:val="000000"/>
      <w:sz w:val="22"/>
      <w:szCs w:val="22"/>
      <w:lang w:val="en-GB" w:eastAsia="en-US" w:bidi="ar-SA"/>
    </w:rPr>
  </w:style>
  <w:style w:type="paragraph" w:customStyle="1" w:styleId="OECD-table-title-bold">
    <w:name w:val="OECD-table-title-bold"/>
    <w:autoRedefine/>
    <w:uiPriority w:val="99"/>
    <w:rsid w:val="00F156A4"/>
    <w:pPr>
      <w:keepNext/>
      <w:spacing w:before="40" w:after="40"/>
      <w:ind w:left="57"/>
    </w:pPr>
    <w:rPr>
      <w:bCs/>
      <w:spacing w:val="-2"/>
      <w:lang w:eastAsia="de-DE"/>
    </w:rPr>
  </w:style>
  <w:style w:type="character" w:customStyle="1" w:styleId="TableText9ptChar">
    <w:name w:val="Table Text 9pt Char"/>
    <w:basedOn w:val="Domylnaczcionkaakapitu"/>
    <w:uiPriority w:val="99"/>
    <w:rsid w:val="00F156A4"/>
    <w:rPr>
      <w:rFonts w:cs="Times New Roman"/>
      <w:sz w:val="24"/>
      <w:szCs w:val="24"/>
      <w:lang w:eastAsia="en-US"/>
    </w:rPr>
  </w:style>
  <w:style w:type="character" w:customStyle="1" w:styleId="TableHeader9ptChar">
    <w:name w:val="Table Header 9pt Char"/>
    <w:basedOn w:val="Domylnaczcionkaakapitu"/>
    <w:uiPriority w:val="99"/>
    <w:rsid w:val="00F156A4"/>
    <w:rPr>
      <w:rFonts w:cs="Times New Roman"/>
      <w:b/>
      <w:sz w:val="24"/>
      <w:szCs w:val="24"/>
      <w:lang w:eastAsia="en-US"/>
    </w:rPr>
  </w:style>
  <w:style w:type="paragraph" w:customStyle="1" w:styleId="CommentSubject1">
    <w:name w:val="Comment Subject1"/>
    <w:basedOn w:val="Tekstkomentarza"/>
    <w:next w:val="Tekstkomentarza"/>
    <w:uiPriority w:val="99"/>
    <w:semiHidden/>
    <w:rsid w:val="00F156A4"/>
    <w:rPr>
      <w:b/>
      <w:bCs/>
    </w:rPr>
  </w:style>
  <w:style w:type="paragraph" w:styleId="Tekstdymka">
    <w:name w:val="Balloon Text"/>
    <w:basedOn w:val="Normalny"/>
    <w:link w:val="TekstdymkaZnak"/>
    <w:uiPriority w:val="99"/>
    <w:semiHidden/>
    <w:rsid w:val="00773380"/>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73380"/>
    <w:rPr>
      <w:rFonts w:ascii="Tahoma" w:hAnsi="Tahoma" w:cs="Tahoma"/>
      <w:sz w:val="16"/>
      <w:szCs w:val="16"/>
      <w:lang w:val="en-GB" w:eastAsia="en-US"/>
    </w:rPr>
  </w:style>
  <w:style w:type="table" w:styleId="Tabela-Siatka">
    <w:name w:val="Table Grid"/>
    <w:basedOn w:val="Standardowy"/>
    <w:uiPriority w:val="59"/>
    <w:locked/>
    <w:rsid w:val="00F51DFC"/>
    <w:rPr>
      <w:rFonts w:eastAsiaTheme="min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51DFC"/>
    <w:pPr>
      <w:autoSpaceDE w:val="0"/>
      <w:autoSpaceDN w:val="0"/>
      <w:adjustRightInd w:val="0"/>
    </w:pPr>
    <w:rPr>
      <w:rFonts w:eastAsiaTheme="minorHAnsi"/>
      <w:color w:val="000000"/>
      <w:sz w:val="24"/>
      <w:szCs w:val="24"/>
    </w:rPr>
  </w:style>
  <w:style w:type="character" w:styleId="Uwydatnienie">
    <w:name w:val="Emphasis"/>
    <w:basedOn w:val="Domylnaczcionkaakapitu"/>
    <w:uiPriority w:val="20"/>
    <w:qFormat/>
    <w:locked/>
    <w:rsid w:val="00F51DFC"/>
    <w:rPr>
      <w:i/>
      <w:iCs/>
    </w:rPr>
  </w:style>
  <w:style w:type="paragraph" w:styleId="Akapitzlist">
    <w:name w:val="List Paragraph"/>
    <w:basedOn w:val="Normalny"/>
    <w:uiPriority w:val="34"/>
    <w:qFormat/>
    <w:rsid w:val="00F51DFC"/>
    <w:pPr>
      <w:widowControl w:val="0"/>
      <w:tabs>
        <w:tab w:val="clear" w:pos="720"/>
      </w:tabs>
      <w:spacing w:after="0"/>
      <w:ind w:left="720"/>
      <w:contextualSpacing/>
      <w:jc w:val="both"/>
    </w:pPr>
    <w:rPr>
      <w:spacing w:val="-5"/>
      <w:sz w:val="22"/>
      <w:szCs w:val="20"/>
    </w:rPr>
  </w:style>
  <w:style w:type="paragraph" w:styleId="Poprawka">
    <w:name w:val="Revision"/>
    <w:hidden/>
    <w:uiPriority w:val="99"/>
    <w:semiHidden/>
    <w:rsid w:val="00157DDD"/>
    <w:rPr>
      <w:sz w:val="24"/>
      <w:szCs w:val="24"/>
      <w:lang w:val="en-GB"/>
    </w:rPr>
  </w:style>
  <w:style w:type="paragraph" w:styleId="Tekstprzypisukocowego">
    <w:name w:val="endnote text"/>
    <w:basedOn w:val="Normalny"/>
    <w:link w:val="TekstprzypisukocowegoZnak"/>
    <w:uiPriority w:val="99"/>
    <w:semiHidden/>
    <w:unhideWhenUsed/>
    <w:locked/>
    <w:rsid w:val="002068E3"/>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068E3"/>
    <w:rPr>
      <w:sz w:val="20"/>
      <w:szCs w:val="20"/>
      <w:lang w:val="en-GB"/>
    </w:rPr>
  </w:style>
  <w:style w:type="character" w:customStyle="1" w:styleId="normaltextrun">
    <w:name w:val="normaltextrun"/>
    <w:basedOn w:val="Domylnaczcionkaakapitu"/>
    <w:uiPriority w:val="1"/>
    <w:rsid w:val="002068E3"/>
  </w:style>
  <w:style w:type="table" w:customStyle="1" w:styleId="TableGrid1">
    <w:name w:val="Table Grid1"/>
    <w:basedOn w:val="Standardowy"/>
    <w:next w:val="Tabela-Siatka"/>
    <w:uiPriority w:val="59"/>
    <w:locked/>
    <w:rsid w:val="009C1054"/>
    <w:pPr>
      <w:tabs>
        <w:tab w:val="left" w:pos="720"/>
      </w:tabs>
      <w:spacing w:after="240"/>
    </w:pPr>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B%20Section%202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753CE810B87845A0FBF0CC4F569D4D" ma:contentTypeVersion="13" ma:contentTypeDescription="Create a new document." ma:contentTypeScope="" ma:versionID="d1742f2d252e1ed9c4cd218d5e451310">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f787fc18e3a8a48f9c85b2481f7ea888"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2049FA-8FA4-449D-BE9D-43AFC075B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078F64-258C-438C-8A2B-84BDEB221F68}">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3.xml><?xml version="1.0" encoding="utf-8"?>
<ds:datastoreItem xmlns:ds="http://schemas.openxmlformats.org/officeDocument/2006/customXml" ds:itemID="{C6501C90-4E63-4118-8135-7D8C753946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dRR Part B Section 2_Blank template</Template>
  <TotalTime>7</TotalTime>
  <Pages>11</Pages>
  <Words>3172</Words>
  <Characters>19033</Characters>
  <Application>Microsoft Office Word</Application>
  <DocSecurity>0</DocSecurity>
  <Lines>158</Lines>
  <Paragraphs>44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Registration Report Part B Section 2</vt:lpstr>
      <vt:lpstr>Registration Report Part B Section 2</vt:lpstr>
    </vt:vector>
  </TitlesOfParts>
  <Company>European Commission</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B Section 2</dc:title>
  <dc:subject/>
  <dc:creator>Registration Report Working Group</dc:creator>
  <cp:keywords/>
  <cp:lastModifiedBy>aam</cp:lastModifiedBy>
  <cp:revision>3</cp:revision>
  <cp:lastPrinted>2010-11-24T14:39:00Z</cp:lastPrinted>
  <dcterms:created xsi:type="dcterms:W3CDTF">2024-09-25T11:30:00Z</dcterms:created>
  <dcterms:modified xsi:type="dcterms:W3CDTF">2024-09-25T11:36:00Z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c6c928649962b859aab69d697d4bc829fa4ca824f90e9d484c5557ace9229045</vt:lpwstr>
  </property>
</Properties>
</file>